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pPr>
      <w:r>
        <w:rPr>
          <w:rFonts w:ascii="Arial" w:cs="Arial" w:eastAsia="Arial" w:hAnsi="Arial"/>
          <w:b w:val="false"/>
          <w:bCs w:val="false"/>
          <w:i w:val="false"/>
          <w:iCs w:val="false"/>
          <w:caps w:val="false"/>
          <w:color w:val="1A1C1D"/>
          <w:sz w:val="18"/>
          <w:szCs w:val="18"/>
        </w:rPr>
        <w:t xml:space="preserve"/>
      </w:r>
    </w:p>
    <w:p>
      <w:pPr>
        <w:keepNext w:val="false"/>
        <w:spacing w:after="200" w:before="0" w:line="260"/>
      </w:pPr>
      <w:r>
        <w:rPr>
          <w:rFonts w:ascii="Arial" w:cs="Arial" w:eastAsia="Arial" w:hAnsi="Arial"/>
          <w:b/>
          <w:bCs/>
          <w:i w:val="false"/>
          <w:iCs w:val="false"/>
          <w:caps w:val="false"/>
          <w:color w:val="8A4C14"/>
          <w:sz w:val="16"/>
          <w:szCs w:val="16"/>
        </w:rPr>
        <w:t xml:space="preserve">V E R K A U F S E X P O S É</w:t>
      </w:r>
    </w:p>
    <w:p>
      <w:pPr>
        <w:spacing w:after="0" w:line="340"/>
      </w:pPr>
      <w:r>
        <w:rPr>
          <w:rFonts w:ascii="Arial" w:cs="Arial" w:eastAsia="Arial" w:hAnsi="Arial"/>
          <w:b/>
          <w:bCs/>
          <w:i w:val="false"/>
          <w:iCs w:val="false"/>
          <w:caps w:val="false"/>
          <w:color w:val="1A1C1D"/>
          <w:sz w:val="60"/>
          <w:szCs w:val="60"/>
        </w:rPr>
        <w:t xml:space="preserve">Drei Kulturdenkmale</w:t>
      </w:r>
    </w:p>
    <w:p>
      <w:pPr>
        <w:pBdr>
          <w:bottom w:val="single" w:color="8A4C14" w:sz="12" w:space="14"/>
        </w:pBdr>
        <w:spacing w:after="340" w:line="340"/>
      </w:pPr>
      <w:r>
        <w:rPr>
          <w:rFonts w:ascii="Arial" w:cs="Arial" w:eastAsia="Arial" w:hAnsi="Arial"/>
          <w:b/>
          <w:bCs/>
          <w:i w:val="false"/>
          <w:iCs w:val="false"/>
          <w:caps w:val="false"/>
          <w:color w:val="8A4C14"/>
          <w:sz w:val="60"/>
          <w:szCs w:val="60"/>
        </w:rPr>
        <w:t xml:space="preserve">in Delitzsch</w:t>
      </w:r>
    </w:p>
    <w:p>
      <w:pPr>
        <w:keepNext w:val="false"/>
        <w:spacing w:after="460" w:before="0" w:line="300"/>
      </w:pPr>
      <w:r>
        <w:rPr>
          <w:rFonts w:ascii="Arial" w:cs="Arial" w:eastAsia="Arial" w:hAnsi="Arial"/>
          <w:b w:val="false"/>
          <w:bCs w:val="false"/>
          <w:i w:val="false"/>
          <w:iCs w:val="false"/>
          <w:caps w:val="false"/>
          <w:color w:val="63676A"/>
          <w:sz w:val="24"/>
          <w:szCs w:val="24"/>
        </w:rPr>
        <w:t xml:space="preserve">Wohn- und Geschäftshäuser Breite Straße 18 und 20 sowie Bismarckstraße 10, 04509 Delitzsch, Landkreis Nordsachsen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3277"/>
        <w:gridCol w:w="6361"/>
      </w:tblGrid>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Objekte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3 Wohn- und Geschäftshäuser, alle als Kulturdenkmal eingetragen</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Baujahre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1583 · 17. Jahrhundert · 1907</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Wohn- und Gewerbefläche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1.662,66 m² (Aufmaß 2022)</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Nutzfläche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706,78 m² Keller, Treppenhäuser und Dachböden</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Mieteinheiten</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19, davon 14 vermietet</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Vermietungsquote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65,7 % der Mietfläche</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Jahresnettokaltmiete</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91.909,20 € (IST) · 100.070,40 € (SOLL)</w:t>
            </w:r>
          </w:p>
        </w:tc>
      </w:tr>
      <w:tr>
        <w:trPr>
          <w:cantSplit/>
          <w:tblHeader w:val="false"/>
        </w:trPr>
        <w:tc>
          <w:tcPr>
            <w:tcW w:type="dxa" w:w="327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7"/>
                <w:szCs w:val="17"/>
              </w:rPr>
              <w:t xml:space="preserve">Paketpreis</w:t>
            </w:r>
          </w:p>
        </w:tc>
        <w:tc>
          <w:tcPr>
            <w:tcW w:type="dxa" w:w="6361"/>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7"/>
                <w:szCs w:val="17"/>
              </w:rPr>
              <w:t xml:space="preserve">1.500.000 €  ·  Faktor 16,3 ×  ·  Bruttorendite 6,13 %</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Einzelverkauf</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Summe 1.605.000 € (Bündelabschlag 6,5 %)</w:t>
            </w:r>
          </w:p>
        </w:tc>
      </w:tr>
      <w:tr>
        <w:trPr>
          <w:cantSplit/>
          <w:tblHeader w:val="false"/>
        </w:trPr>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7"/>
                <w:szCs w:val="17"/>
              </w:rPr>
              <w:t xml:space="preserve">Stand</w:t>
            </w:r>
          </w:p>
        </w:tc>
        <w:tc>
          <w:tcPr>
            <w:tcW w:type="dxa" w:w="636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7"/>
                <w:szCs w:val="17"/>
              </w:rPr>
              <w:t xml:space="preserve">07.08.2026</w:t>
            </w:r>
          </w:p>
        </w:tc>
      </w:tr>
    </w:tbl>
    <w:p>
      <w:pPr>
        <w:keepNext w:val="false"/>
        <w:spacing w:after="500" w:before="0" w:line="260"/>
      </w:pPr>
      <w:r>
        <w:rPr>
          <w:rFonts w:ascii="Arial" w:cs="Arial" w:eastAsia="Arial" w:hAnsi="Arial"/>
          <w:b w:val="false"/>
          <w:bCs w:val="false"/>
          <w:i w:val="false"/>
          <w:iCs w:val="false"/>
          <w:caps w:val="false"/>
          <w:color w:val="1A1C1D"/>
          <w:sz w:val="18"/>
          <w:szCs w:val="18"/>
        </w:rPr>
        <w:t xml:space="preserve"/>
      </w:r>
    </w:p>
    <w:p>
      <w:pPr>
        <w:keepNext w:val="false"/>
        <w:spacing w:after="140" w:before="0" w:line="220"/>
      </w:pPr>
      <w:r>
        <w:rPr>
          <w:rFonts w:ascii="Arial" w:cs="Arial" w:eastAsia="Arial" w:hAnsi="Arial"/>
          <w:b w:val="false"/>
          <w:bCs w:val="false"/>
          <w:i/>
          <w:iCs/>
          <w:caps w:val="false"/>
          <w:color w:val="63676A"/>
          <w:sz w:val="15"/>
          <w:szCs w:val="15"/>
        </w:rPr>
        <w:t xml:space="preserve">Dieses Exposé ist kein Verkehrswertgutachten und ersetzt weder Steuer- noch Rechtsberatung. Alle Mietangaben sind Netto-Kaltmieten. Irrtum und Zwischenverkauf vorbehalten.</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1 · Das Angebot auf einen Blick</w:t>
      </w:r>
    </w:p>
    <w:p>
      <w:pPr>
        <w:keepNext w:val="false"/>
        <w:spacing w:after="200" w:before="0" w:line="290"/>
      </w:pPr>
      <w:r>
        <w:rPr>
          <w:rFonts w:ascii="Arial" w:cs="Arial" w:eastAsia="Arial" w:hAnsi="Arial"/>
          <w:b w:val="false"/>
          <w:bCs w:val="false"/>
          <w:i w:val="false"/>
          <w:iCs w:val="false"/>
          <w:caps w:val="false"/>
          <w:color w:val="1A1C1D"/>
          <w:sz w:val="19"/>
          <w:szCs w:val="19"/>
        </w:rPr>
        <w:t xml:space="preserve">Drei innerstädtische Wohn- und Geschäftshäuser in Delitzsch, alle drei als Kulturdenkmal in der sächsischen Denkmalliste eingetragen, alle drei in gepflegtem Zustand mit modernisierten Wohnungen. Zusammen 1.656,12 m² Mietfläche, davon 1.087,54 m² laufend vermietet. Die verbleibenden 568,58 m² Leerstandsfläche sind die Wertreserve des Angebots.</w:t>
      </w:r>
    </w:p>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Das Kernargument</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bCs/>
          <w:i w:val="false"/>
          <w:iCs w:val="false"/>
          <w:caps w:val="false"/>
          <w:color w:val="1A1C1D"/>
          <w:sz w:val="17"/>
          <w:szCs w:val="17"/>
        </w:rPr>
        <w:t xml:space="preserve">1.379 € je Quadratmeter vermieteter Fläche. </w:t>
      </w:r>
      <w:r>
        <w:rPr>
          <w:rFonts w:ascii="Arial" w:cs="Arial" w:eastAsia="Arial" w:hAnsi="Arial"/>
          <w:b w:val="false"/>
          <w:bCs w:val="false"/>
          <w:i w:val="false"/>
          <w:iCs w:val="false"/>
          <w:caps w:val="false"/>
          <w:color w:val="1A1C1D"/>
          <w:sz w:val="17"/>
          <w:szCs w:val="17"/>
        </w:rPr>
        <w:t xml:space="preserve">Rechnet man den Paketpreis allein auf die 1.087,54 m² um, die heute Miete tragen, liegt er bei 1.379 €/m² — und die 568,58 m² Leerstandsfläche gibt es rechnerisch gratis dazu. Zum Vergleich: der Median der aktuell in Delitzsch angebotenen Mehrfamilienhäuser liegt bei rund 1.450 €/m².</w:t>
      </w:r>
    </w:p>
    <w:p>
      <w:pPr>
        <w:keepNext/>
        <w:spacing w:after="70" w:before="260"/>
      </w:pPr>
      <w:r>
        <w:rPr>
          <w:rFonts w:ascii="Arial" w:cs="Arial" w:eastAsia="Arial" w:hAnsi="Arial"/>
          <w:b/>
          <w:bCs/>
          <w:i w:val="false"/>
          <w:iCs w:val="false"/>
          <w:caps w:val="false"/>
          <w:color w:val="8A4C14"/>
          <w:spacing w:val="14"/>
          <w:sz w:val="16"/>
          <w:szCs w:val="16"/>
        </w:rPr>
        <w:t xml:space="preserve">Kennzahlen im Überblick</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890"/>
        <w:gridCol w:w="1687"/>
        <w:gridCol w:w="1687"/>
        <w:gridCol w:w="1687"/>
        <w:gridCol w:w="1687"/>
      </w:tblGrid>
      <w:tr>
        <w:trPr>
          <w:cantSplit/>
          <w:tblHeader w:val="false"/>
        </w:trPr>
        <w:tc>
          <w:tcPr>
            <w:tcW w:type="dxa" w:w="289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Kennzahl</w:t>
            </w:r>
          </w:p>
        </w:tc>
        <w:tc>
          <w:tcPr>
            <w:tcW w:type="dxa" w:w="168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Breite Str. 18</w:t>
            </w:r>
          </w:p>
        </w:tc>
        <w:tc>
          <w:tcPr>
            <w:tcW w:type="dxa" w:w="168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Breite Str. 20</w:t>
            </w:r>
          </w:p>
        </w:tc>
        <w:tc>
          <w:tcPr>
            <w:tcW w:type="dxa" w:w="168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Bismarckstr. 10</w:t>
            </w:r>
          </w:p>
        </w:tc>
        <w:tc>
          <w:tcPr>
            <w:tcW w:type="dxa" w:w="168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Paket</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Angebotspreis</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610.000 €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340.000 €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655.000 €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1.500.000 €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Jahresmiete IST</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34.320 €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19.266 €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38.323 €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Jahresmiete SOLL</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37.620 €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21.199 €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41.251 €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100.070 €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Kaufpreisfaktor IST</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17,8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17,7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17,1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16,3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Bruttorendite IST</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5,63 %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5,67 %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5,85 %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6,13 %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Bruttorendite SOLL</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6,17 %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6,24 %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6,30 %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6,67 %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Bruttorendite Potenzial</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6,17 %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12,34 %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9,08 %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9,27 %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Mietfläche</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405,00 m²</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575,34 m²</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675,78 m²</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1.656,12 m²</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Vermietungsquote</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47,7 %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60,4 %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65,7 %</w:t>
            </w:r>
          </w:p>
        </w:tc>
      </w:tr>
      <w:tr>
        <w:trPr>
          <w:cantSplit/>
          <w:tblHeader w:val="false"/>
        </w:trPr>
        <w:tc>
          <w:tcPr>
            <w:tcW w:type="dxa" w:w="289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Kaufpreis je m² vermietet</w:t>
            </w:r>
          </w:p>
        </w:tc>
        <w:tc>
          <w:tcPr>
            <w:tcW w:type="dxa" w:w="168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1.506 €</w:t>
            </w:r>
          </w:p>
        </w:tc>
        <w:tc>
          <w:tcPr>
            <w:tcW w:type="dxa" w:w="168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1.239 €</w:t>
            </w:r>
          </w:p>
        </w:tc>
        <w:tc>
          <w:tcPr>
            <w:tcW w:type="dxa" w:w="168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1.605 €</w:t>
            </w:r>
          </w:p>
        </w:tc>
        <w:tc>
          <w:tcPr>
            <w:tcW w:type="dxa" w:w="168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1.379 €</w:t>
            </w:r>
          </w:p>
        </w:tc>
      </w:tr>
      <w:tr>
        <w:trPr>
          <w:cantSplit/>
          <w:tblHeader w:val="false"/>
        </w:trPr>
        <w:tc>
          <w:tcPr>
            <w:tcW w:type="dxa" w:w="289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Kaufpreis je m² Mietfläche</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1.506 €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591 €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969 €</w:t>
            </w:r>
          </w:p>
        </w:tc>
        <w:tc>
          <w:tcPr>
            <w:tcW w:type="dxa" w:w="168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906 €</w:t>
            </w:r>
          </w:p>
        </w:tc>
      </w:tr>
    </w:tbl>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2 · Die Objekte</w:t>
      </w:r>
    </w:p>
    <w:p>
      <w:pPr>
        <w:pStyle w:val="Heading2"/>
        <w:keepNext/>
        <w:spacing w:after="100" w:before="300"/>
      </w:pPr>
      <w:r>
        <w:rPr>
          <w:rFonts w:ascii="Arial" w:cs="Arial" w:eastAsia="Arial" w:hAnsi="Arial"/>
          <w:b/>
          <w:bCs/>
          <w:i w:val="false"/>
          <w:iCs w:val="false"/>
          <w:caps w:val="false"/>
          <w:color w:val="1A1C1D"/>
          <w:sz w:val="22"/>
          <w:szCs w:val="22"/>
        </w:rPr>
        <w:t xml:space="preserve">Breite Straße 18</w:t>
      </w:r>
    </w:p>
    <w:p>
      <w:pPr>
        <w:keepNext w:val="false"/>
        <w:spacing w:after="120" w:before="0" w:line="260"/>
      </w:pPr>
      <w:r>
        <w:rPr>
          <w:rFonts w:ascii="Arial" w:cs="Arial" w:eastAsia="Arial" w:hAnsi="Arial"/>
          <w:b w:val="false"/>
          <w:bCs w:val="false"/>
          <w:i w:val="false"/>
          <w:iCs w:val="false"/>
          <w:caps w:val="false"/>
          <w:color w:val="8A4C14"/>
          <w:sz w:val="15"/>
          <w:szCs w:val="15"/>
        </w:rPr>
        <w:t xml:space="preserve">Kulturdenkmal, Denkmal-ID 08971789 · Baujahr bezeichnet mit 1583 · Altstadt/Geschäftslage, Bodenrichtwertzone 30003160 (M)</w:t>
      </w:r>
    </w:p>
    <w:p>
      <w:pPr>
        <w:keepNext w:val="false"/>
        <w:spacing w:after="180" w:before="0" w:line="250"/>
      </w:pPr>
      <w:r>
        <w:rPr>
          <w:rFonts w:ascii="Arial" w:cs="Arial" w:eastAsia="Arial" w:hAnsi="Arial"/>
          <w:b w:val="false"/>
          <w:bCs w:val="false"/>
          <w:i/>
          <w:iCs/>
          <w:caps w:val="false"/>
          <w:color w:val="63676A"/>
          <w:sz w:val="17"/>
          <w:szCs w:val="17"/>
        </w:rPr>
        <w:t xml:space="preserve">Eintrag der sächsischen Denkmalliste: </w:t>
      </w:r>
      <w:r>
        <w:rPr>
          <w:rFonts w:ascii="Arial" w:cs="Arial" w:eastAsia="Arial" w:hAnsi="Arial"/>
          <w:b w:val="false"/>
          <w:bCs w:val="false"/>
          <w:i/>
          <w:iCs/>
          <w:caps w:val="false"/>
          <w:color w:val="63676A"/>
          <w:sz w:val="17"/>
          <w:szCs w:val="17"/>
        </w:rPr>
        <w:t xml:space="preserve">„Wohnhaus in geschlossener Bebauung und in Ecklage. Bedeutender Renaissancebau, genannt „Das schöne Haus“, mit Sitznischenportal und gewölbter Eingangshalle, steiles Satteldach (Volutengiebel rekonstruiert); kulturgeschichtlich, künstlerisch, ortsgeschichtlich und baugeschichtlich bedeutsam.“</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6"/>
        <w:gridCol w:w="2313"/>
        <w:gridCol w:w="2506"/>
        <w:gridCol w:w="2313"/>
      </w:tblGrid>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Wohn-/Gewerbefläche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402,52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Angebotspreis</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610.000 €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Nutzfläche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202,76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Kaufpreisfaktor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17,8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Keller</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75,11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Bruttorendite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5,63 %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Dachboden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100,31 m² (unausgebaut)</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1.506 €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Mietfläche laut Vertrag</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405,00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Aufmaß</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1.515 €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405,00 m² (100,0 %)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34.320,00 €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Leerstand</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keiner</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SOLL</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37.620,00 €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Mieteinheiten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Miete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7,06 €</w:t>
            </w:r>
          </w:p>
        </w:tc>
      </w:tr>
    </w:tbl>
    <w:p>
      <w:pPr>
        <w:keepNext w:val="false"/>
        <w:spacing w:after="260" w:before="0" w:line="260"/>
      </w:pPr>
      <w:r>
        <w:rPr>
          <w:rFonts w:ascii="Arial" w:cs="Arial" w:eastAsia="Arial" w:hAnsi="Arial"/>
          <w:b w:val="false"/>
          <w:bCs w:val="false"/>
          <w:i w:val="false"/>
          <w:iCs w:val="false"/>
          <w:caps w:val="false"/>
          <w:color w:val="1A1C1D"/>
          <w:sz w:val="18"/>
          <w:szCs w:val="18"/>
        </w:rPr>
        <w:t xml:space="preserve"/>
      </w:r>
    </w:p>
    <w:p>
      <w:pPr>
        <w:pStyle w:val="Heading2"/>
        <w:keepNext/>
        <w:spacing w:after="100" w:before="300"/>
      </w:pPr>
      <w:r>
        <w:rPr>
          <w:rFonts w:ascii="Arial" w:cs="Arial" w:eastAsia="Arial" w:hAnsi="Arial"/>
          <w:b/>
          <w:bCs/>
          <w:i w:val="false"/>
          <w:iCs w:val="false"/>
          <w:caps w:val="false"/>
          <w:color w:val="1A1C1D"/>
          <w:sz w:val="22"/>
          <w:szCs w:val="22"/>
        </w:rPr>
        <w:t xml:space="preserve">Breite Straße 20</w:t>
      </w:r>
    </w:p>
    <w:p>
      <w:pPr>
        <w:keepNext w:val="false"/>
        <w:spacing w:after="120" w:before="0" w:line="260"/>
      </w:pPr>
      <w:r>
        <w:rPr>
          <w:rFonts w:ascii="Arial" w:cs="Arial" w:eastAsia="Arial" w:hAnsi="Arial"/>
          <w:b w:val="false"/>
          <w:bCs w:val="false"/>
          <w:i w:val="false"/>
          <w:iCs w:val="false"/>
          <w:caps w:val="false"/>
          <w:color w:val="8A4C14"/>
          <w:sz w:val="15"/>
          <w:szCs w:val="15"/>
        </w:rPr>
        <w:t xml:space="preserve">Kulturdenkmal, Denkmal-ID 08971788 · Baujahr 17. Jahrhundert · Altstadt/Geschäftslage, Bodenrichtwertzone 30003160 (M)</w:t>
      </w:r>
    </w:p>
    <w:p>
      <w:pPr>
        <w:keepNext w:val="false"/>
        <w:spacing w:after="180" w:before="0" w:line="250"/>
      </w:pPr>
      <w:r>
        <w:rPr>
          <w:rFonts w:ascii="Arial" w:cs="Arial" w:eastAsia="Arial" w:hAnsi="Arial"/>
          <w:b w:val="false"/>
          <w:bCs w:val="false"/>
          <w:i/>
          <w:iCs/>
          <w:caps w:val="false"/>
          <w:color w:val="63676A"/>
          <w:sz w:val="17"/>
          <w:szCs w:val="17"/>
        </w:rPr>
        <w:t xml:space="preserve">Eintrag der sächsischen Denkmalliste: </w:t>
      </w:r>
      <w:r>
        <w:rPr>
          <w:rFonts w:ascii="Arial" w:cs="Arial" w:eastAsia="Arial" w:hAnsi="Arial"/>
          <w:b w:val="false"/>
          <w:bCs w:val="false"/>
          <w:i/>
          <w:iCs/>
          <w:caps w:val="false"/>
          <w:color w:val="63676A"/>
          <w:sz w:val="17"/>
          <w:szCs w:val="17"/>
        </w:rPr>
        <w:t xml:space="preserve">„Wohnhaus in geschlossener Bebauung. Bestandteil der typischen kleinteiligen Kernstadtbebauung, Putzfassade, steiles Satteldach; baugeschichtlich, hausgeschichtlich und städtebaulich von Bedeutung.“</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6"/>
        <w:gridCol w:w="2313"/>
        <w:gridCol w:w="2506"/>
        <w:gridCol w:w="2313"/>
      </w:tblGrid>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Wohn-/Gewerbefläche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554,94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Angebotspreis</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340.000 €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Nutzfläche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278,86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Kaufpreisfaktor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17,7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Keller</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180,44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Bruttorendite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5,67 %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Dachboden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64,53 m² (unausgebaut)</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1.239 €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Mietfläche laut Vertrag</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575,34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Aufmaß</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613 €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274,34 m² (47,7 %)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19.266,00 €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Leerstand</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301,00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SOLL</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21.199,20 €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Mieteinheiten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Miete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5,85 €</w:t>
            </w:r>
          </w:p>
        </w:tc>
      </w:tr>
    </w:tbl>
    <w:p>
      <w:pPr>
        <w:keepNext w:val="false"/>
        <w:spacing w:after="260" w:before="0" w:line="260"/>
      </w:pPr>
      <w:r>
        <w:rPr>
          <w:rFonts w:ascii="Arial" w:cs="Arial" w:eastAsia="Arial" w:hAnsi="Arial"/>
          <w:b w:val="false"/>
          <w:bCs w:val="false"/>
          <w:i w:val="false"/>
          <w:iCs w:val="false"/>
          <w:caps w:val="false"/>
          <w:color w:val="1A1C1D"/>
          <w:sz w:val="18"/>
          <w:szCs w:val="18"/>
        </w:rPr>
        <w:t xml:space="preserve"/>
      </w:r>
    </w:p>
    <w:p>
      <w:pPr>
        <w:pStyle w:val="Heading2"/>
        <w:keepNext/>
        <w:spacing w:after="100" w:before="300"/>
      </w:pPr>
      <w:r>
        <w:rPr>
          <w:rFonts w:ascii="Arial" w:cs="Arial" w:eastAsia="Arial" w:hAnsi="Arial"/>
          <w:b/>
          <w:bCs/>
          <w:i w:val="false"/>
          <w:iCs w:val="false"/>
          <w:caps w:val="false"/>
          <w:color w:val="1A1C1D"/>
          <w:sz w:val="22"/>
          <w:szCs w:val="22"/>
        </w:rPr>
        <w:t xml:space="preserve">Bismarckstraße 10</w:t>
      </w:r>
    </w:p>
    <w:p>
      <w:pPr>
        <w:keepNext w:val="false"/>
        <w:spacing w:after="120" w:before="0" w:line="260"/>
      </w:pPr>
      <w:r>
        <w:rPr>
          <w:rFonts w:ascii="Arial" w:cs="Arial" w:eastAsia="Arial" w:hAnsi="Arial"/>
          <w:b w:val="false"/>
          <w:bCs w:val="false"/>
          <w:i w:val="false"/>
          <w:iCs w:val="false"/>
          <w:caps w:val="false"/>
          <w:color w:val="8A4C14"/>
          <w:sz w:val="15"/>
          <w:szCs w:val="15"/>
        </w:rPr>
        <w:t xml:space="preserve">Kulturdenkmal, Denkmal-ID 08971569 · Baujahr 1907 (Denkmalliste) / 1910 (Eigenunterlagen) · Wohnlage, Bodenrichtwertzone 30003123 (W)</w:t>
      </w:r>
    </w:p>
    <w:p>
      <w:pPr>
        <w:keepNext w:val="false"/>
        <w:spacing w:after="180" w:before="0" w:line="250"/>
      </w:pPr>
      <w:r>
        <w:rPr>
          <w:rFonts w:ascii="Arial" w:cs="Arial" w:eastAsia="Arial" w:hAnsi="Arial"/>
          <w:b w:val="false"/>
          <w:bCs w:val="false"/>
          <w:i/>
          <w:iCs/>
          <w:caps w:val="false"/>
          <w:color w:val="63676A"/>
          <w:sz w:val="17"/>
          <w:szCs w:val="17"/>
        </w:rPr>
        <w:t xml:space="preserve">Eintrag der sächsischen Denkmalliste: </w:t>
      </w:r>
      <w:r>
        <w:rPr>
          <w:rFonts w:ascii="Arial" w:cs="Arial" w:eastAsia="Arial" w:hAnsi="Arial"/>
          <w:b w:val="false"/>
          <w:bCs w:val="false"/>
          <w:i/>
          <w:iCs/>
          <w:caps w:val="false"/>
          <w:color w:val="63676A"/>
          <w:sz w:val="17"/>
          <w:szCs w:val="17"/>
        </w:rPr>
        <w:t xml:space="preserve">„Mietshaus in geschlossener Bebauung, mit Tordurchfahrt und Laden, aufwendig dekorierte gründerzeitliche Klinkerfassade mit repräsentativen Fensterbekrönungen, baugeschichtlich von Bedeutung.“</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6"/>
        <w:gridCol w:w="2313"/>
        <w:gridCol w:w="2506"/>
        <w:gridCol w:w="2313"/>
      </w:tblGrid>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Wohn-/Gewerbefläche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705,20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Angebotspreis</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655.000 €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Nutzfläche</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225,16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Kaufpreisfaktor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17,1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Keller</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194,38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Bruttorendite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5,85 %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Dachboden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1.605 €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Mietfläche laut Vertrag</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675,78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Kaufpreis je m² Aufmaß</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929 €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408,20 m² (60,4 %)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IST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38.323,20 €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davon Leerstand</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267,58 m²</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Jahresmiete SOLL</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41.251,20 €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6"/>
                <w:szCs w:val="16"/>
              </w:rPr>
              <w:t xml:space="preserve">Mieteinheiten</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9</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Miete je m² vermietet</w:t>
            </w:r>
          </w:p>
        </w:tc>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6"/>
                <w:szCs w:val="16"/>
              </w:rPr>
              <w:t xml:space="preserve">7,82 €</w:t>
            </w:r>
          </w:p>
        </w:tc>
      </w:tr>
    </w:tbl>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3 · Flächen und Flächenabgleich</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Grundlage sind die Wohn- und Nutzflächenberechnungen des Vermessungsbüros Biedermann, Zwochau — Breite Straße vom 09.04.2022, Bismarckstraße vom 20.06.2022, jeweils raumweise aufgeschlüsselt. Ihnen gegenübergestellt sind die Flächen aus den Mietverträgen. Beide Werte weichen geringfügig voneinander ab; das ist bei Altbauten normal und wird hier offen ausgewiesen.</w:t>
      </w:r>
    </w:p>
    <w:p>
      <w:pPr>
        <w:keepNext/>
        <w:spacing w:after="70" w:before="260"/>
      </w:pPr>
      <w:r>
        <w:rPr>
          <w:rFonts w:ascii="Arial" w:cs="Arial" w:eastAsia="Arial" w:hAnsi="Arial"/>
          <w:b/>
          <w:bCs/>
          <w:i w:val="false"/>
          <w:iCs w:val="false"/>
          <w:caps w:val="false"/>
          <w:color w:val="8A4C14"/>
          <w:spacing w:val="14"/>
          <w:sz w:val="16"/>
          <w:szCs w:val="16"/>
        </w:rPr>
        <w:t xml:space="preserve">Aufmaß und Mietfläche</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5"/>
        <w:gridCol w:w="1446"/>
        <w:gridCol w:w="1157"/>
        <w:gridCol w:w="1060"/>
        <w:gridCol w:w="1157"/>
        <w:gridCol w:w="1253"/>
        <w:gridCol w:w="1060"/>
      </w:tblGrid>
      <w:tr>
        <w:trPr>
          <w:cantSplit/>
          <w:tblHeader w:val="false"/>
        </w:trPr>
        <w:tc>
          <w:tcPr>
            <w:tcW w:type="dxa" w:w="25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Objekt</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Wohn-/Gewerbe­fläche Aufmaß</w:t>
            </w:r>
          </w:p>
        </w:tc>
        <w:tc>
          <w:tcPr>
            <w:tcW w:type="dxa" w:w="115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Nutz­fläche</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davon Keller</w:t>
            </w:r>
          </w:p>
        </w:tc>
        <w:tc>
          <w:tcPr>
            <w:tcW w:type="dxa" w:w="115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davon Dachboden</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Mietfläche lt. Vertrag</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Δ Vertrag ./. Aufmaß</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18</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402,52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202,76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75,11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100,31 m²</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405,00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+2,48</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20</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554,94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278,86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180,44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64,53 m²</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575,34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+20,40</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Bismarckstraße 10</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705,20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225,16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194,38 m²</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675,78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-29,42</w:t>
            </w:r>
          </w:p>
        </w:tc>
      </w:tr>
      <w:tr>
        <w:trPr>
          <w:cantSplit/>
          <w:tblHeader w:val="false"/>
        </w:trPr>
        <w:tc>
          <w:tcPr>
            <w:tcW w:type="dxa" w:w="250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Gesamt</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1.662,66 m²</w:t>
            </w:r>
          </w:p>
        </w:tc>
        <w:tc>
          <w:tcPr>
            <w:tcW w:type="dxa" w:w="115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706,78 m²</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449,93 m²</w:t>
            </w:r>
          </w:p>
        </w:tc>
        <w:tc>
          <w:tcPr>
            <w:tcW w:type="dxa" w:w="115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164,84 m²</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1.656,12 m²</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r>
    </w:tbl>
    <w:p>
      <w:pPr>
        <w:keepNext/>
        <w:spacing w:after="70" w:before="260"/>
      </w:pPr>
      <w:r>
        <w:rPr>
          <w:rFonts w:ascii="Arial" w:cs="Arial" w:eastAsia="Arial" w:hAnsi="Arial"/>
          <w:b/>
          <w:bCs/>
          <w:i w:val="false"/>
          <w:iCs w:val="false"/>
          <w:caps w:val="false"/>
          <w:color w:val="8A4C14"/>
          <w:spacing w:val="14"/>
          <w:sz w:val="16"/>
          <w:szCs w:val="16"/>
        </w:rPr>
        <w:t xml:space="preserve">Vermietete gegen freistehende Flächen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313"/>
        <w:gridCol w:w="1253"/>
        <w:gridCol w:w="1060"/>
        <w:gridCol w:w="1253"/>
        <w:gridCol w:w="1060"/>
        <w:gridCol w:w="1060"/>
        <w:gridCol w:w="964"/>
        <w:gridCol w:w="675"/>
      </w:tblGrid>
      <w:tr>
        <w:trPr>
          <w:cantSplit/>
          <w:tblHeader w:val="false"/>
        </w:trPr>
        <w:tc>
          <w:tcPr>
            <w:tcW w:type="dxa" w:w="231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Objekt</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Wohnen vermietet</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Wohnen leer</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Gewerbe vermietet</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Gewerbe leer</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Σ vermietet</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Σ Leerstand</w:t>
            </w:r>
          </w:p>
        </w:tc>
        <w:tc>
          <w:tcPr>
            <w:tcW w:type="dxa" w:w="67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Quote</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18</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240,00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165,00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405,00 m²</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67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100,0 %</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20</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274,34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301,00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274,34 m²</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301,00 m²</w:t>
            </w:r>
          </w:p>
        </w:tc>
        <w:tc>
          <w:tcPr>
            <w:tcW w:type="dxa" w:w="67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47,7 %</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Bismarckstraße 10</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326,28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59,50 m²</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81,92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208,08 m²</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408,20 m²</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267,58 m²</w:t>
            </w:r>
          </w:p>
        </w:tc>
        <w:tc>
          <w:tcPr>
            <w:tcW w:type="dxa" w:w="67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60,4 %</w:t>
            </w:r>
          </w:p>
        </w:tc>
      </w:tr>
      <w:tr>
        <w:trPr>
          <w:cantSplit/>
          <w:tblHeader w:val="false"/>
        </w:trPr>
        <w:tc>
          <w:tcPr>
            <w:tcW w:type="dxa" w:w="231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Gesamt</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840,62 m²</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59,50 m²</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246,92 m²</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509,08 m²</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1.087,54 m²</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568,58 m²</w:t>
            </w:r>
          </w:p>
        </w:tc>
        <w:tc>
          <w:tcPr>
            <w:tcW w:type="dxa" w:w="67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65,7 %</w:t>
            </w:r>
          </w:p>
        </w:tc>
      </w:tr>
    </w:tbl>
    <w:p>
      <w:pPr>
        <w:keepNext/>
        <w:spacing w:after="70" w:before="260"/>
      </w:pPr>
      <w:r>
        <w:rPr>
          <w:rFonts w:ascii="Arial" w:cs="Arial" w:eastAsia="Arial" w:hAnsi="Arial"/>
          <w:b/>
          <w:bCs/>
          <w:i w:val="false"/>
          <w:iCs w:val="false"/>
          <w:caps w:val="false"/>
          <w:color w:val="8A4C14"/>
          <w:spacing w:val="14"/>
          <w:sz w:val="16"/>
          <w:szCs w:val="16"/>
        </w:rPr>
        <w:t xml:space="preserve">Die Leerstandsflächen im Einzelnen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313"/>
        <w:gridCol w:w="2120"/>
        <w:gridCol w:w="1157"/>
        <w:gridCol w:w="1157"/>
        <w:gridCol w:w="1349"/>
        <w:gridCol w:w="1542"/>
      </w:tblGrid>
      <w:tr>
        <w:trPr>
          <w:cantSplit/>
          <w:tblHeader w:val="false"/>
        </w:trPr>
        <w:tc>
          <w:tcPr>
            <w:tcW w:type="dxa" w:w="231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Objekt</w:t>
            </w:r>
          </w:p>
        </w:tc>
        <w:tc>
          <w:tcPr>
            <w:tcW w:type="dxa" w:w="212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Einheit</w:t>
            </w:r>
          </w:p>
        </w:tc>
        <w:tc>
          <w:tcPr>
            <w:tcW w:type="dxa" w:w="115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Art</w:t>
            </w:r>
          </w:p>
        </w:tc>
        <w:tc>
          <w:tcPr>
            <w:tcW w:type="dxa" w:w="115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Fläche</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Ansatz €/m²</w:t>
            </w:r>
          </w:p>
        </w:tc>
        <w:tc>
          <w:tcPr>
            <w:tcW w:type="dxa" w:w="154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Potenzialmiete €/Monat</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20</w:t>
            </w:r>
          </w:p>
        </w:tc>
        <w:tc>
          <w:tcPr>
            <w:tcW w:type="dxa" w:w="212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EG Ladengeschäft</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Gewerbe</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75,00 m²</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600,00</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Breite Straße 20</w:t>
            </w:r>
          </w:p>
        </w:tc>
        <w:tc>
          <w:tcPr>
            <w:tcW w:type="dxa" w:w="212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1. OG Gewerbe</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Gewerbe</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226,00 m²</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5,00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1.130,00</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Bismarckstraße 10</w:t>
            </w:r>
          </w:p>
        </w:tc>
        <w:tc>
          <w:tcPr>
            <w:tcW w:type="dxa" w:w="212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App. 1 (EG)</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Wohnen</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29,50 m²</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236,00</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Bismarckstraße 10</w:t>
            </w:r>
          </w:p>
        </w:tc>
        <w:tc>
          <w:tcPr>
            <w:tcW w:type="dxa" w:w="212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App. 2 (1. OG)</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Wohnen</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30,00 m²</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240,00</w:t>
            </w:r>
          </w:p>
        </w:tc>
      </w:tr>
      <w:tr>
        <w:trPr>
          <w:cantSplit/>
          <w:tblHeader w:val="false"/>
        </w:trPr>
        <w:tc>
          <w:tcPr>
            <w:tcW w:type="dxa" w:w="23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Bismarckstraße 10</w:t>
            </w:r>
          </w:p>
        </w:tc>
        <w:tc>
          <w:tcPr>
            <w:tcW w:type="dxa" w:w="212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Gewerbe EG/1. OG</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Gewerbe</w:t>
            </w:r>
          </w:p>
        </w:tc>
        <w:tc>
          <w:tcPr>
            <w:tcW w:type="dxa" w:w="115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208,08 m²</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5,00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1.040,40</w:t>
            </w:r>
          </w:p>
        </w:tc>
      </w:tr>
      <w:tr>
        <w:trPr>
          <w:cantSplit/>
          <w:tblHeader w:val="false"/>
        </w:trPr>
        <w:tc>
          <w:tcPr>
            <w:tcW w:type="dxa" w:w="231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Gesamt</w:t>
            </w:r>
          </w:p>
        </w:tc>
        <w:tc>
          <w:tcPr>
            <w:tcW w:type="dxa" w:w="212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w:t>
            </w:r>
          </w:p>
        </w:tc>
        <w:tc>
          <w:tcPr>
            <w:tcW w:type="dxa" w:w="115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c>
          <w:tcPr>
            <w:tcW w:type="dxa" w:w="115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568,58 m²</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5,71</w:t>
            </w:r>
          </w:p>
        </w:tc>
        <w:tc>
          <w:tcPr>
            <w:tcW w:type="dxa" w:w="154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3.246,40</w:t>
            </w:r>
          </w:p>
        </w:tc>
      </w:tr>
    </w:tbl>
    <w:p>
      <w:pPr>
        <w:keepNext/>
        <w:pBdr>
          <w:top w:val="single" w:color="C9C7BF" w:sz="2"/>
          <w:bottom w:val="none" w:color="FFFFFF" w:sz="0"/>
          <w:left w:val="single" w:color="00918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00918A"/>
          <w:spacing w:val="16"/>
          <w:sz w:val="14"/>
          <w:szCs w:val="14"/>
        </w:rPr>
        <w:t xml:space="preserve">Ausbaureserve</w:t>
      </w:r>
    </w:p>
    <w:p>
      <w:pPr>
        <w:pBdr>
          <w:top w:val="none" w:color="FFFFFF" w:sz="0"/>
          <w:bottom w:val="single" w:color="C9C7BF" w:sz="2"/>
          <w:left w:val="single" w:color="00918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Zusätzlich zu den ausgewiesenen Mietflächen stehen 164,84 m² unausgebauter Dachboden zur Verfügung — 100,31 m² in der Breiten Straße 18 und 64,53 m² in der Nummer 20. Beide sind in den Bestandsplänen erfasst und in den Preisen nicht bewertet. Dazu kommen 449,93 m² Kellerfläche.</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4 · Mieteinnahmen</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Drei sauber getrennte Ebenen: die heute fließende Miete, die Miete nach den bereits angekündigten Erhöhungen, und die Miete bei Vollvermietung. Alle Angaben sind Netto-Kaltmieten; Betriebskosten sind separat ausgewiesen.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6"/>
        <w:gridCol w:w="1446"/>
        <w:gridCol w:w="1542"/>
        <w:gridCol w:w="1349"/>
        <w:gridCol w:w="1446"/>
        <w:gridCol w:w="1349"/>
      </w:tblGrid>
      <w:tr>
        <w:trPr>
          <w:cantSplit/>
          <w:tblHeader w:val="false"/>
        </w:trPr>
        <w:tc>
          <w:tcPr>
            <w:tcW w:type="dxa" w:w="250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Szenario</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 / Monat</w:t>
            </w:r>
          </w:p>
        </w:tc>
        <w:tc>
          <w:tcPr>
            <w:tcW w:type="dxa" w:w="154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 / Jahr</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€/m² vermietet</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Reinertrag p. a.</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Rendite auf Paketpreis</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IST — Stand 07.08.2026</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7.659,10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91.909,20</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7,04</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67.093,72</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6,13 %</w:t>
            </w:r>
          </w:p>
        </w:tc>
      </w:tr>
      <w:tr>
        <w:trPr>
          <w:cantSplit/>
          <w:tblHeader w:val="false"/>
        </w:trPr>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SOLL — angekündigte Erhöhungen</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8.339,20</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100.070,40</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7,67</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73.051,39</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6,67 %</w:t>
            </w:r>
          </w:p>
        </w:tc>
      </w:tr>
      <w:tr>
        <w:trPr>
          <w:cantSplit/>
          <w:tblHeader w:val="false"/>
        </w:trPr>
        <w:tc>
          <w:tcPr>
            <w:tcW w:type="dxa" w:w="250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POTENZIAL — Vollvermietung</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11.585,60</w:t>
            </w:r>
          </w:p>
        </w:tc>
        <w:tc>
          <w:tcPr>
            <w:tcW w:type="dxa" w:w="154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139.027,20</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7,00</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101.489,86</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9,27 %</w:t>
            </w:r>
          </w:p>
        </w:tc>
      </w:tr>
    </w:tbl>
    <w:p>
      <w:pPr>
        <w:keepNext w:val="false"/>
        <w:spacing w:after="140" w:before="0" w:line="220"/>
      </w:pPr>
      <w:r>
        <w:rPr>
          <w:rFonts w:ascii="Arial" w:cs="Arial" w:eastAsia="Arial" w:hAnsi="Arial"/>
          <w:b w:val="false"/>
          <w:bCs w:val="false"/>
          <w:i/>
          <w:iCs/>
          <w:caps w:val="false"/>
          <w:color w:val="63676A"/>
          <w:sz w:val="15"/>
          <w:szCs w:val="15"/>
        </w:rPr>
        <w:t xml:space="preserve">Reinertrag = Nettokaltmiete abzüglich 27 % nicht umlagefähiger Bewirtschaftungskosten (Verwaltung, Instandhaltung, Mietausfallwagnis).</w:t>
      </w:r>
    </w:p>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Wie die Zahlen abgeleitet sind</w:t>
      </w:r>
    </w:p>
    <w:p>
      <w:pPr>
        <w:pBdr>
          <w:top w:val="none" w:color="FFFFFF" w:sz="0"/>
          <w:bottom w:val="none" w:color="FFFFFF" w:sz="0"/>
          <w:left w:val="single" w:color="8A4C14"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Grundlage ist das Blatt „2026 Mieteinnahmen“ der Verwaltungsübersicht, abgeglichen gegen die Blätter „Aufstellung Bank“ und „Übersicht 2022“. Zwei Mieterwechsel sind eingearbeitet: Bismarckstraße 2. OG links geht zum 01.03.2026 an Herrn Pucher (500 €), Breite Straße 20, 2. OG links zum 01.04.2026 an Frau Wagner (500 €).</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Mieterhöhungen mit einem Wirksamkeitsdatum in der Vergangenheit sind im IST enthalten; Erhöhungen ohne Datum gelten als angekündigt und stehen nur im SOLL. Die SOLL-Summe reproduziert damit exakt die Werte der Verwaltungsübersicht (Breite Straße 18 und 20 zusammen 4.901,60 € pro Monat) — bis auf 40 € in der Bismarckstraße, die sich allein aus dem Mieterwechsel ergeben.</w:t>
      </w:r>
    </w:p>
    <w:p>
      <w:pPr>
        <w:keepNext/>
        <w:spacing w:after="70" w:before="260"/>
      </w:pPr>
      <w:r>
        <w:rPr>
          <w:rFonts w:ascii="Arial" w:cs="Arial" w:eastAsia="Arial" w:hAnsi="Arial"/>
          <w:b/>
          <w:bCs/>
          <w:i w:val="false"/>
          <w:iCs w:val="false"/>
          <w:caps w:val="false"/>
          <w:color w:val="8A4C14"/>
          <w:spacing w:val="14"/>
          <w:sz w:val="16"/>
          <w:szCs w:val="16"/>
        </w:rPr>
        <w:t xml:space="preserve">Mieterliste Breite Straße 18</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1544"/>
        <w:gridCol w:w="2120"/>
        <w:gridCol w:w="867"/>
        <w:gridCol w:w="1060"/>
        <w:gridCol w:w="771"/>
        <w:gridCol w:w="1060"/>
        <w:gridCol w:w="771"/>
        <w:gridCol w:w="867"/>
        <w:gridCol w:w="578"/>
      </w:tblGrid>
      <w:tr>
        <w:trPr>
          <w:cantSplit/>
          <w:tblHeader w:val="false"/>
        </w:trPr>
        <w:tc>
          <w:tcPr>
            <w:tcW w:type="dxa" w:w="1544"/>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Einheit</w:t>
            </w:r>
          </w:p>
        </w:tc>
        <w:tc>
          <w:tcPr>
            <w:tcW w:type="dxa" w:w="212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Mieter</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Fläche</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IST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SOLL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BK €/M</w:t>
            </w:r>
          </w:p>
        </w:tc>
        <w:tc>
          <w:tcPr>
            <w:tcW w:type="dxa" w:w="578"/>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seit</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EG Ladengeschäft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Bestattungen Tröger/Luckow</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120,00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1.080,00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1.080,00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9,00</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250,00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01.03.2026</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Büro Hofgebäude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Dr. Seifert, Psychotherapie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45,00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405,00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405,00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9,00</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01.01.2026</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1. OG Wohnung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S. Schleicher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120,00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825,00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6,88</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990,00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8,25</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210,00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01.05.2023</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 OG Wohnung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Klein / Eichler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120,00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550,00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4,58</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660,00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5,50</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250,00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15.05.2019</w:t>
            </w:r>
          </w:p>
        </w:tc>
      </w:tr>
      <w:tr>
        <w:trPr>
          <w:cantSplit/>
          <w:tblHeader w:val="false"/>
        </w:trPr>
        <w:tc>
          <w:tcPr>
            <w:tcW w:type="dxa" w:w="1544"/>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Summe</w:t>
            </w:r>
          </w:p>
        </w:tc>
        <w:tc>
          <w:tcPr>
            <w:tcW w:type="dxa" w:w="212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100,0 % vermietet</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405,00</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2.860,00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7,06</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3.135,00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7,74</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780,00</w:t>
            </w:r>
          </w:p>
        </w:tc>
        <w:tc>
          <w:tcPr>
            <w:tcW w:type="dxa" w:w="578"/>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r>
    </w:tbl>
    <w:p>
      <w:pPr>
        <w:keepNext/>
        <w:spacing w:after="70" w:before="260"/>
      </w:pPr>
      <w:r>
        <w:rPr>
          <w:rFonts w:ascii="Arial" w:cs="Arial" w:eastAsia="Arial" w:hAnsi="Arial"/>
          <w:b/>
          <w:bCs/>
          <w:i w:val="false"/>
          <w:iCs w:val="false"/>
          <w:caps w:val="false"/>
          <w:color w:val="8A4C14"/>
          <w:spacing w:val="14"/>
          <w:sz w:val="16"/>
          <w:szCs w:val="16"/>
        </w:rPr>
        <w:t xml:space="preserve">Mieterliste Breite Straße 20</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1544"/>
        <w:gridCol w:w="2120"/>
        <w:gridCol w:w="867"/>
        <w:gridCol w:w="1060"/>
        <w:gridCol w:w="771"/>
        <w:gridCol w:w="1060"/>
        <w:gridCol w:w="771"/>
        <w:gridCol w:w="867"/>
        <w:gridCol w:w="578"/>
      </w:tblGrid>
      <w:tr>
        <w:trPr>
          <w:cantSplit/>
          <w:tblHeader w:val="false"/>
        </w:trPr>
        <w:tc>
          <w:tcPr>
            <w:tcW w:type="dxa" w:w="1544"/>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Einheit</w:t>
            </w:r>
          </w:p>
        </w:tc>
        <w:tc>
          <w:tcPr>
            <w:tcW w:type="dxa" w:w="212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Mieter</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Fläche</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IST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SOLL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BK €/M</w:t>
            </w:r>
          </w:p>
        </w:tc>
        <w:tc>
          <w:tcPr>
            <w:tcW w:type="dxa" w:w="578"/>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seit</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EG Ladengeschäft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iCs/>
                <w:caps w:val="false"/>
                <w:color w:val="63676A"/>
                <w:sz w:val="14"/>
                <w:szCs w:val="14"/>
              </w:rPr>
              <w:t xml:space="preserve">Leerstand</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75,00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1. OG Gewerbe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iCs/>
                <w:caps w:val="false"/>
                <w:color w:val="63676A"/>
                <w:sz w:val="14"/>
                <w:szCs w:val="14"/>
              </w:rPr>
              <w:t xml:space="preserve">Leerstand</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226,00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 OG rechts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Plener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86,00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445,50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5,18</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534,60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6,22</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174,50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01.11.1999</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 OG links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S. Wagner (ab 01.04.2026)</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84,34</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5,93</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5,93</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01.04.2026</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3. OG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Heyrich</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70,00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360,00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5,14</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432,00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6,17</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95,00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01.06.2008</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DG Wohnung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Epperlein</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34,00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8,82</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8,82</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10.01.2022</w:t>
            </w:r>
          </w:p>
        </w:tc>
      </w:tr>
      <w:tr>
        <w:trPr>
          <w:cantSplit/>
          <w:tblHeader w:val="false"/>
        </w:trPr>
        <w:tc>
          <w:tcPr>
            <w:tcW w:type="dxa" w:w="1544"/>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Summe</w:t>
            </w:r>
          </w:p>
        </w:tc>
        <w:tc>
          <w:tcPr>
            <w:tcW w:type="dxa" w:w="212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47,7 % vermietet</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575,34</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1.605,50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5,85</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1.766,60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6,44</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499,50</w:t>
            </w:r>
          </w:p>
        </w:tc>
        <w:tc>
          <w:tcPr>
            <w:tcW w:type="dxa" w:w="578"/>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r>
    </w:tbl>
    <w:p>
      <w:pPr>
        <w:keepNext/>
        <w:spacing w:after="70" w:before="260"/>
      </w:pPr>
      <w:r>
        <w:rPr>
          <w:rFonts w:ascii="Arial" w:cs="Arial" w:eastAsia="Arial" w:hAnsi="Arial"/>
          <w:b/>
          <w:bCs/>
          <w:i w:val="false"/>
          <w:iCs w:val="false"/>
          <w:caps w:val="false"/>
          <w:color w:val="8A4C14"/>
          <w:spacing w:val="14"/>
          <w:sz w:val="16"/>
          <w:szCs w:val="16"/>
        </w:rPr>
        <w:t xml:space="preserve">Mieterliste Bismarckstraße 10</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1544"/>
        <w:gridCol w:w="2120"/>
        <w:gridCol w:w="867"/>
        <w:gridCol w:w="1060"/>
        <w:gridCol w:w="771"/>
        <w:gridCol w:w="1060"/>
        <w:gridCol w:w="771"/>
        <w:gridCol w:w="867"/>
        <w:gridCol w:w="578"/>
      </w:tblGrid>
      <w:tr>
        <w:trPr>
          <w:cantSplit/>
          <w:tblHeader w:val="false"/>
        </w:trPr>
        <w:tc>
          <w:tcPr>
            <w:tcW w:type="dxa" w:w="1544"/>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Einheit</w:t>
            </w:r>
          </w:p>
        </w:tc>
        <w:tc>
          <w:tcPr>
            <w:tcW w:type="dxa" w:w="212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Mieter</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Fläche</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IST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1060"/>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SOLL €/M</w:t>
            </w:r>
          </w:p>
        </w:tc>
        <w:tc>
          <w:tcPr>
            <w:tcW w:type="dxa" w:w="771"/>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w:t>
            </w:r>
          </w:p>
        </w:tc>
        <w:tc>
          <w:tcPr>
            <w:tcW w:type="dxa" w:w="867"/>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BK €/M</w:t>
            </w:r>
          </w:p>
        </w:tc>
        <w:tc>
          <w:tcPr>
            <w:tcW w:type="dxa" w:w="578"/>
            <w:tcBorders>
              <w:top w:val="single" w:color="C9C7BF" w:sz="2"/>
              <w:left w:val="single" w:color="C9C7BF" w:sz="2"/>
              <w:bottom w:val="single" w:color="C9C7BF" w:sz="2"/>
              <w:right w:val="single" w:color="C9C7BF" w:sz="2"/>
            </w:tcBorders>
            <w:shd w:fill="8A4C14"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seit</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App. 1 (EG)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iCs/>
                <w:caps w:val="false"/>
                <w:color w:val="63676A"/>
                <w:sz w:val="14"/>
                <w:szCs w:val="14"/>
              </w:rPr>
              <w:t xml:space="preserve">Leerstand</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29,50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App. 2 (1. OG)</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iCs/>
                <w:caps w:val="false"/>
                <w:color w:val="63676A"/>
                <w:sz w:val="14"/>
                <w:szCs w:val="14"/>
              </w:rPr>
              <w:t xml:space="preserve">Leerstand</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1. OG links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Häßler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52,00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480,00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9,23</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480,00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9,23</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01.03.2023</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1. OG rechts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Steffen</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71,00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518,40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7,30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518,40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7,30</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241,60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01.07.2014</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 OG links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Pucher (ab 01.03.2026)</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52,50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9,52</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500,00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9,52</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01.03.2026</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 OG rechts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Decker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72,00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475,20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6,60</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475,20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6,60</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205,00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01.07.2002</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Dachgeschoss</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Frieß</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78,78</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680,00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8,63</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816,00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10,36</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160,00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01.03.2024</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Gewerbe EG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Ritter</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81,92</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540,00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6,59</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648,00</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7,91</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60,00</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01.11.2023</w:t>
            </w:r>
          </w:p>
        </w:tc>
      </w:tr>
      <w:tr>
        <w:trPr>
          <w:cantSplit/>
          <w:tblHeader w:val="false"/>
        </w:trPr>
        <w:tc>
          <w:tcPr>
            <w:tcW w:type="dxa" w:w="1544"/>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Gewerbe EG/1. OG (Gewerbe)</w:t>
            </w:r>
          </w:p>
        </w:tc>
        <w:tc>
          <w:tcPr>
            <w:tcW w:type="dxa" w:w="212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left"/>
            </w:pPr>
            <w:r>
              <w:rPr>
                <w:rFonts w:ascii="Arial" w:cs="Arial" w:eastAsia="Arial" w:hAnsi="Arial"/>
                <w:b w:val="false"/>
                <w:bCs w:val="false"/>
                <w:i/>
                <w:iCs/>
                <w:caps w:val="false"/>
                <w:color w:val="63676A"/>
                <w:sz w:val="14"/>
                <w:szCs w:val="14"/>
              </w:rPr>
              <w:t xml:space="preserve">Leerstand</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208,08</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771"/>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867"/>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c>
          <w:tcPr>
            <w:tcW w:type="dxa" w:w="578"/>
            <w:tcBorders>
              <w:top w:val="single" w:color="C9C7BF" w:sz="2"/>
              <w:left w:val="single" w:color="C9C7BF" w:sz="2"/>
              <w:bottom w:val="single" w:color="C9C7BF" w:sz="2"/>
              <w:right w:val="single" w:color="C9C7BF" w:sz="2"/>
            </w:tcBorders>
            <w:tcMar>
              <w:top w:type="dxa" w:w="34"/>
              <w:left w:type="dxa" w:w="85"/>
              <w:bottom w:type="dxa" w:w="34"/>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w:t>
            </w:r>
          </w:p>
        </w:tc>
      </w:tr>
      <w:tr>
        <w:trPr>
          <w:cantSplit/>
          <w:tblHeader w:val="false"/>
        </w:trPr>
        <w:tc>
          <w:tcPr>
            <w:tcW w:type="dxa" w:w="1544"/>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Summe</w:t>
            </w:r>
          </w:p>
        </w:tc>
        <w:tc>
          <w:tcPr>
            <w:tcW w:type="dxa" w:w="212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60,4 % vermietet</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675,78</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3.193,60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7,82</w:t>
            </w:r>
          </w:p>
        </w:tc>
        <w:tc>
          <w:tcPr>
            <w:tcW w:type="dxa" w:w="1060"/>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3.437,60</w:t>
            </w:r>
          </w:p>
        </w:tc>
        <w:tc>
          <w:tcPr>
            <w:tcW w:type="dxa" w:w="771"/>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8,42</w:t>
            </w:r>
          </w:p>
        </w:tc>
        <w:tc>
          <w:tcPr>
            <w:tcW w:type="dxa" w:w="867"/>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966,60</w:t>
            </w:r>
          </w:p>
        </w:tc>
        <w:tc>
          <w:tcPr>
            <w:tcW w:type="dxa" w:w="578"/>
            <w:tcBorders>
              <w:top w:val="single" w:color="C9C7BF" w:sz="2"/>
              <w:left w:val="single" w:color="C9C7BF" w:sz="2"/>
              <w:bottom w:val="single" w:color="C9C7BF" w:sz="2"/>
              <w:right w:val="single" w:color="C9C7BF" w:sz="2"/>
            </w:tcBorders>
            <w:shd w:fill="F2EFE9" w:color="auto" w:val="clear"/>
            <w:tcMar>
              <w:top w:type="dxa" w:w="34"/>
              <w:left w:type="dxa" w:w="85"/>
              <w:bottom w:type="dxa" w:w="34"/>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r>
    </w:tbl>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5 · Preisfindung</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Der Preis ist über drei voneinander unabhängige Wege abgeleitet — Ertragswert, Kaufpreisfaktor und Vergleichswert. Alle drei landen im selben Korridor, und genau das ist der Beleg für seine Belastbarkeit.</w:t>
      </w:r>
    </w:p>
    <w:p>
      <w:pPr>
        <w:keepNext/>
        <w:spacing w:after="70" w:before="260"/>
      </w:pPr>
      <w:r>
        <w:rPr>
          <w:rFonts w:ascii="Arial" w:cs="Arial" w:eastAsia="Arial" w:hAnsi="Arial"/>
          <w:b/>
          <w:bCs/>
          <w:i w:val="false"/>
          <w:iCs w:val="false"/>
          <w:caps w:val="false"/>
          <w:color w:val="8A4C14"/>
          <w:spacing w:val="14"/>
          <w:sz w:val="16"/>
          <w:szCs w:val="16"/>
        </w:rPr>
        <w:t xml:space="preserve">Weg 1 — Ertragswert als ewige Rente</w:t>
      </w:r>
    </w:p>
    <w:p>
      <w:pPr>
        <w:keepNext w:val="false"/>
        <w:spacing w:after="120" w:before="0" w:line="260"/>
      </w:pPr>
      <w:r>
        <w:rPr>
          <w:rFonts w:ascii="Arial" w:cs="Arial" w:eastAsia="Arial" w:hAnsi="Arial"/>
          <w:b w:val="false"/>
          <w:bCs w:val="false"/>
          <w:i w:val="false"/>
          <w:iCs w:val="false"/>
          <w:caps w:val="false"/>
          <w:color w:val="1A1C1D"/>
          <w:sz w:val="18"/>
          <w:szCs w:val="18"/>
        </w:rPr>
        <w:t xml:space="preserve">Der Jahresreinertrag wird mit dem Liegenschaftszins kapitalisiert.</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698"/>
        <w:gridCol w:w="1388"/>
        <w:gridCol w:w="1388"/>
        <w:gridCol w:w="1388"/>
        <w:gridCol w:w="1388"/>
        <w:gridCol w:w="1388"/>
      </w:tblGrid>
      <w:tr>
        <w:trPr>
          <w:cantSplit/>
          <w:tblHeader w:val="false"/>
        </w:trPr>
        <w:tc>
          <w:tcPr>
            <w:tcW w:type="dxa" w:w="269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Basis</w:t>
            </w:r>
          </w:p>
        </w:tc>
        <w:tc>
          <w:tcPr>
            <w:tcW w:type="dxa" w:w="138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4,5 %</w:t>
            </w:r>
          </w:p>
        </w:tc>
        <w:tc>
          <w:tcPr>
            <w:tcW w:type="dxa" w:w="138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5,0 %</w:t>
            </w:r>
          </w:p>
        </w:tc>
        <w:tc>
          <w:tcPr>
            <w:tcW w:type="dxa" w:w="138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5,5 %</w:t>
            </w:r>
          </w:p>
        </w:tc>
        <w:tc>
          <w:tcPr>
            <w:tcW w:type="dxa" w:w="138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6,0 %</w:t>
            </w:r>
          </w:p>
        </w:tc>
        <w:tc>
          <w:tcPr>
            <w:tcW w:type="dxa" w:w="138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6,5 %</w:t>
            </w:r>
          </w:p>
        </w:tc>
      </w:tr>
      <w:tr>
        <w:trPr>
          <w:cantSplit/>
          <w:tblHeader w:val="false"/>
        </w:trPr>
        <w:tc>
          <w:tcPr>
            <w:tcW w:type="dxa" w:w="269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Reinertrag IST · 67.094 €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1.490.972 €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1.341.874 €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1.219.886 €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1.118.229 €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1.032.211 €</w:t>
            </w:r>
          </w:p>
        </w:tc>
      </w:tr>
      <w:tr>
        <w:trPr>
          <w:cantSplit/>
          <w:tblHeader w:val="false"/>
        </w:trPr>
        <w:tc>
          <w:tcPr>
            <w:tcW w:type="dxa" w:w="269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Reinertrag SOLL · 73.051 €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1.623.364 €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1.461.028 €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1.328.207 €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1.217.523 €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1.123.868 €</w:t>
            </w:r>
          </w:p>
        </w:tc>
      </w:tr>
      <w:tr>
        <w:trPr>
          <w:cantSplit/>
          <w:tblHeader w:val="false"/>
        </w:trPr>
        <w:tc>
          <w:tcPr>
            <w:tcW w:type="dxa" w:w="269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Reinertrag Potenzial · 101.490 €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2.255.330 €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2.029.797 €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1.845.270 €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1.691.498 €</w:t>
            </w:r>
          </w:p>
        </w:tc>
        <w:tc>
          <w:tcPr>
            <w:tcW w:type="dxa" w:w="138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1.561.382 €</w:t>
            </w:r>
          </w:p>
        </w:tc>
      </w:tr>
    </w:tbl>
    <w:p>
      <w:pPr>
        <w:keepNext/>
        <w:spacing w:after="70" w:before="260"/>
      </w:pPr>
      <w:r>
        <w:rPr>
          <w:rFonts w:ascii="Arial" w:cs="Arial" w:eastAsia="Arial" w:hAnsi="Arial"/>
          <w:b/>
          <w:bCs/>
          <w:i w:val="false"/>
          <w:iCs w:val="false"/>
          <w:caps w:val="false"/>
          <w:color w:val="8A4C14"/>
          <w:spacing w:val="14"/>
          <w:sz w:val="16"/>
          <w:szCs w:val="16"/>
        </w:rPr>
        <w:t xml:space="preserve">Weg 2 — Kaufpreisfaktor</w:t>
      </w:r>
    </w:p>
    <w:p>
      <w:pPr>
        <w:keepNext w:val="false"/>
        <w:spacing w:after="160" w:before="0" w:line="260"/>
      </w:pPr>
      <w:r>
        <w:rPr>
          <w:rFonts w:ascii="Arial" w:cs="Arial" w:eastAsia="Arial" w:hAnsi="Arial"/>
          <w:b w:val="false"/>
          <w:bCs w:val="false"/>
          <w:i w:val="false"/>
          <w:iCs w:val="false"/>
          <w:caps w:val="false"/>
          <w:color w:val="1A1C1D"/>
          <w:sz w:val="18"/>
          <w:szCs w:val="18"/>
        </w:rPr>
        <w:t xml:space="preserve">In Delitzsch angebotene Mehrfamilienhäuser rufen Faktoren um 20 auf; realisiert wird deutlich darunter. Für ein gemischt genutztes Altbauobjekt mit 34,3 % Leerstand sind 13 bis 15 realistisch. Der Paketpreis entspricht 16,3 × der IST-Miete und 15,0 × der SOLL-Miete.</w:t>
      </w:r>
    </w:p>
    <w:p>
      <w:pPr>
        <w:keepNext/>
        <w:spacing w:after="70" w:before="260"/>
      </w:pPr>
      <w:r>
        <w:rPr>
          <w:rFonts w:ascii="Arial" w:cs="Arial" w:eastAsia="Arial" w:hAnsi="Arial"/>
          <w:b/>
          <w:bCs/>
          <w:i w:val="false"/>
          <w:iCs w:val="false"/>
          <w:caps w:val="false"/>
          <w:color w:val="8A4C14"/>
          <w:spacing w:val="14"/>
          <w:sz w:val="16"/>
          <w:szCs w:val="16"/>
        </w:rPr>
        <w:t xml:space="preserve">Weg 3 — Vergleichswert, Preisbrücke</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5397"/>
        <w:gridCol w:w="1735"/>
        <w:gridCol w:w="2506"/>
      </w:tblGrid>
      <w:tr>
        <w:trPr>
          <w:cantSplit/>
          <w:tblHeader w:val="false"/>
        </w:trPr>
        <w:tc>
          <w:tcPr>
            <w:tcW w:type="dxa" w:w="539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Schritt</w:t>
            </w:r>
          </w:p>
        </w:tc>
        <w:tc>
          <w:tcPr>
            <w:tcW w:type="dxa" w:w="173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Abschlag</w:t>
            </w:r>
          </w:p>
        </w:tc>
        <w:tc>
          <w:tcPr>
            <w:tcW w:type="dxa" w:w="250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€/m² Mietfläche</w:t>
            </w:r>
          </w:p>
        </w:tc>
      </w:tr>
      <w:tr>
        <w:trPr>
          <w:cantSplit/>
          <w:tblHeader w:val="false"/>
        </w:trPr>
        <w:tc>
          <w:tcPr>
            <w:tcW w:type="dxa" w:w="539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Median MFH-Angebot Delitzsch (5 Objekte, 08/2026)</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1.450</w:t>
            </w:r>
          </w:p>
        </w:tc>
      </w:tr>
      <w:tr>
        <w:trPr>
          <w:cantSplit/>
          <w:tblHeader w:val="false"/>
        </w:trPr>
        <w:tc>
          <w:tcPr>
            <w:tcW w:type="dxa" w:w="539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Verhandlungsabschlag Angebot → Abschluss</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1.305</w:t>
            </w:r>
          </w:p>
        </w:tc>
      </w:tr>
      <w:tr>
        <w:trPr>
          <w:cantSplit/>
          <w:tblHeader w:val="false"/>
        </w:trPr>
        <w:tc>
          <w:tcPr>
            <w:tcW w:type="dxa" w:w="539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Abschlag „mittlerer statt sanierter Zustand“</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-25 %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979</w:t>
            </w:r>
          </w:p>
        </w:tc>
      </w:tr>
      <w:tr>
        <w:trPr>
          <w:cantSplit/>
          <w:tblHeader w:val="false"/>
        </w:trPr>
        <w:tc>
          <w:tcPr>
            <w:tcW w:type="dxa" w:w="539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Abschlag Leerstand 34,3 % und Gewerbeanteil</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-20 %</w:t>
            </w:r>
          </w:p>
        </w:tc>
        <w:tc>
          <w:tcPr>
            <w:tcW w:type="dxa" w:w="250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783</w:t>
            </w:r>
          </w:p>
        </w:tc>
      </w:tr>
      <w:tr>
        <w:trPr>
          <w:cantSplit/>
          <w:tblHeader w:val="false"/>
        </w:trPr>
        <w:tc>
          <w:tcPr>
            <w:tcW w:type="dxa" w:w="5397"/>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 rechnerischer Zielwert je m² Mietfläche</w:t>
            </w:r>
          </w:p>
        </w:tc>
        <w:tc>
          <w:tcPr>
            <w:tcW w:type="dxa" w:w="1735"/>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c>
          <w:tcPr>
            <w:tcW w:type="dxa" w:w="2506"/>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783</w:t>
            </w:r>
          </w:p>
        </w:tc>
      </w:tr>
      <w:tr>
        <w:trPr>
          <w:cantSplit/>
          <w:tblHeader w:val="false"/>
        </w:trPr>
        <w:tc>
          <w:tcPr>
            <w:tcW w:type="dxa" w:w="539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Angesetzt (Paketpreis / Mietfläche)</w:t>
            </w:r>
          </w:p>
        </w:tc>
        <w:tc>
          <w:tcPr>
            <w:tcW w:type="dxa" w:w="173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c>
          <w:tcPr>
            <w:tcW w:type="dxa" w:w="250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906</w:t>
            </w:r>
          </w:p>
        </w:tc>
      </w:tr>
    </w:tbl>
    <w:p>
      <w:pPr>
        <w:keepNext/>
        <w:spacing w:after="70" w:before="260"/>
      </w:pPr>
      <w:r>
        <w:rPr>
          <w:rFonts w:ascii="Arial" w:cs="Arial" w:eastAsia="Arial" w:hAnsi="Arial"/>
          <w:b/>
          <w:bCs/>
          <w:i w:val="false"/>
          <w:iCs w:val="false"/>
          <w:caps w:val="false"/>
          <w:color w:val="8A4C14"/>
          <w:spacing w:val="14"/>
          <w:sz w:val="16"/>
          <w:szCs w:val="16"/>
        </w:rPr>
        <w:t xml:space="preserve">Ergebnis — Angebotspreise</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409"/>
        <w:gridCol w:w="1349"/>
        <w:gridCol w:w="964"/>
        <w:gridCol w:w="964"/>
        <w:gridCol w:w="1060"/>
        <w:gridCol w:w="964"/>
        <w:gridCol w:w="964"/>
        <w:gridCol w:w="964"/>
      </w:tblGrid>
      <w:tr>
        <w:trPr>
          <w:cantSplit/>
          <w:tblHeader w:val="false"/>
        </w:trPr>
        <w:tc>
          <w:tcPr>
            <w:tcW w:type="dxa" w:w="240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Objekt</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Angebotspreis</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Faktor IST</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Faktor SOLL</w:t>
            </w:r>
          </w:p>
        </w:tc>
        <w:tc>
          <w:tcPr>
            <w:tcW w:type="dxa" w:w="1060"/>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Brutto IST</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Brutto SOLL</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 vermietet</w:t>
            </w:r>
          </w:p>
        </w:tc>
        <w:tc>
          <w:tcPr>
            <w:tcW w:type="dxa" w:w="96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€/m² Mietfläche</w:t>
            </w:r>
          </w:p>
        </w:tc>
      </w:tr>
      <w:tr>
        <w:trPr>
          <w:cantSplit/>
          <w:tblHeader w:val="false"/>
        </w:trPr>
        <w:tc>
          <w:tcPr>
            <w:tcW w:type="dxa" w:w="240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Breite Straße 18</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610.000 €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17,8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16,2 ×</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5,63 %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6,17 %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1.506 €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1.506 €</w:t>
            </w:r>
          </w:p>
        </w:tc>
      </w:tr>
      <w:tr>
        <w:trPr>
          <w:cantSplit/>
          <w:tblHeader w:val="false"/>
        </w:trPr>
        <w:tc>
          <w:tcPr>
            <w:tcW w:type="dxa" w:w="240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Breite Straße 20</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340.000 €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17,7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16,0 ×</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5,67 %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6,24 %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1.239 €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591 €</w:t>
            </w:r>
          </w:p>
        </w:tc>
      </w:tr>
      <w:tr>
        <w:trPr>
          <w:cantSplit/>
          <w:tblHeader w:val="false"/>
        </w:trPr>
        <w:tc>
          <w:tcPr>
            <w:tcW w:type="dxa" w:w="240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Bismarckstraße 10</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655.000 €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17,1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15,9 ×</w:t>
            </w:r>
          </w:p>
        </w:tc>
        <w:tc>
          <w:tcPr>
            <w:tcW w:type="dxa" w:w="1060"/>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5,85 %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6,30 %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1.605 €</w:t>
            </w:r>
          </w:p>
        </w:tc>
        <w:tc>
          <w:tcPr>
            <w:tcW w:type="dxa" w:w="96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969 €</w:t>
            </w:r>
          </w:p>
        </w:tc>
      </w:tr>
      <w:tr>
        <w:trPr>
          <w:cantSplit/>
          <w:tblHeader w:val="false"/>
        </w:trPr>
        <w:tc>
          <w:tcPr>
            <w:tcW w:type="dxa" w:w="2409"/>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Summe Einzelverkauf</w:t>
            </w:r>
          </w:p>
        </w:tc>
        <w:tc>
          <w:tcPr>
            <w:tcW w:type="dxa" w:w="1349"/>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1.605.000 €</w:t>
            </w:r>
          </w:p>
        </w:tc>
        <w:tc>
          <w:tcPr>
            <w:tcW w:type="dxa" w:w="96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c>
          <w:tcPr>
            <w:tcW w:type="dxa" w:w="96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c>
          <w:tcPr>
            <w:tcW w:type="dxa" w:w="1060"/>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c>
          <w:tcPr>
            <w:tcW w:type="dxa" w:w="96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c>
          <w:tcPr>
            <w:tcW w:type="dxa" w:w="96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c>
          <w:tcPr>
            <w:tcW w:type="dxa" w:w="96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w:t>
            </w:r>
          </w:p>
        </w:tc>
      </w:tr>
      <w:tr>
        <w:trPr>
          <w:cantSplit/>
          <w:tblHeader w:val="false"/>
        </w:trPr>
        <w:tc>
          <w:tcPr>
            <w:tcW w:type="dxa" w:w="240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Paketpreis (./. 6,5 %)</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1.500.000 €</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16,3 ×</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15,0 ×</w:t>
            </w:r>
          </w:p>
        </w:tc>
        <w:tc>
          <w:tcPr>
            <w:tcW w:type="dxa" w:w="1060"/>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6,13 %</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6,67 %</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1.379 €</w:t>
            </w:r>
          </w:p>
        </w:tc>
        <w:tc>
          <w:tcPr>
            <w:tcW w:type="dxa" w:w="96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906 €</w:t>
            </w:r>
          </w:p>
        </w:tc>
      </w:tr>
    </w:tbl>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Verhandlungsrahmen</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bCs/>
          <w:i w:val="false"/>
          <w:iCs w:val="false"/>
          <w:caps w:val="false"/>
          <w:color w:val="1A1C1D"/>
          <w:sz w:val="17"/>
          <w:szCs w:val="17"/>
        </w:rPr>
        <w:t xml:space="preserve">Angebotspreis Paket 1.500.000 €, </w:t>
      </w:r>
      <w:r>
        <w:rPr>
          <w:rFonts w:ascii="Arial" w:cs="Arial" w:eastAsia="Arial" w:hAnsi="Arial"/>
          <w:b w:val="false"/>
          <w:bCs w:val="false"/>
          <w:i w:val="false"/>
          <w:iCs w:val="false"/>
          <w:caps w:val="false"/>
          <w:color w:val="1A1C1D"/>
          <w:sz w:val="17"/>
          <w:szCs w:val="17"/>
        </w:rPr>
        <w:t xml:space="preserve">Verhandlungskorridor 1.380.000 € bis 1.620.000 €, Zielabschluss 1.440.000 € bis 1.500.000 €. Der Bündelabschlag von 6,5 % gegenüber dem Einzelverkauf ist das Zugeständnis dafür, dass ein Käufer auch die Breite Straße 20 mit ihrem hohen Gewerbeleerstand mitnimmt. Ohne Paket ist die Breite Straße 18 — vollvermietet, Renaissancebau, 34.320 € Jahresmiete — das mit Abstand leichteste Einzelobjekt.</w:t>
      </w:r>
    </w:p>
    <w:p>
      <w:pPr>
        <w:keepNext/>
        <w:pBdr>
          <w:top w:val="single" w:color="C9C7BF" w:sz="2"/>
          <w:bottom w:val="none" w:color="FFFFFF" w:sz="0"/>
          <w:left w:val="single" w:color="A8382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A8382A"/>
          <w:spacing w:val="16"/>
          <w:sz w:val="14"/>
          <w:szCs w:val="14"/>
        </w:rPr>
        <w:t xml:space="preserve">Erwerbsnebenkosten für den Käufer</w:t>
      </w:r>
    </w:p>
    <w:p>
      <w:pPr>
        <w:pBdr>
          <w:top w:val="none" w:color="FFFFFF" w:sz="0"/>
          <w:bottom w:val="single" w:color="C9C7BF" w:sz="2"/>
          <w:left w:val="single" w:color="A8382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Grunderwerbsteuer Sachsen 5,5 % = 82.500 €, Notar und Grundbuch rund 1,75 % = 26.250 €. Gesamtinvestition ohne Maklercourtage 1.608.750 €.</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6 · Hochrechnung über 10, 15 und 20 Jahre</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Was die Häuser über die Haltedauer einspielen — einmal nominal ohne jede Annahme, einmal mit einer vorsichtigen Mietsteigerung von 1,5 % pro Jahr. Delitzsch unterliegt nicht der Mietpreisbremse; die Kappungsgrenze von 20 % in drei Jahren gilt uneingeschränkt.</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05"/>
        <w:gridCol w:w="1542"/>
        <w:gridCol w:w="1446"/>
        <w:gridCol w:w="1446"/>
        <w:gridCol w:w="1446"/>
        <w:gridCol w:w="1253"/>
      </w:tblGrid>
      <w:tr>
        <w:trPr>
          <w:cantSplit/>
          <w:tblHeader w:val="false"/>
        </w:trPr>
        <w:tc>
          <w:tcPr>
            <w:tcW w:type="dxa" w:w="25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Szenario</w:t>
            </w:r>
          </w:p>
        </w:tc>
        <w:tc>
          <w:tcPr>
            <w:tcW w:type="dxa" w:w="154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Jahresmiete</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10 Jahre</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15 Jahre</w:t>
            </w:r>
          </w:p>
        </w:tc>
        <w:tc>
          <w:tcPr>
            <w:tcW w:type="dxa" w:w="144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20 Jahre</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Miete im Jahr 20</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IST — nominal</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91.909,20 €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919.092 €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1.378.638 €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1.838.184 €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91.909 €</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SOLL — nominal</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100.070,40 €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1.000.704 €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1.501.056 €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2.001.408 €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100.070 €</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 — nominal</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139.027,20 €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1.390.272 €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2.085.408 €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2.780.544 €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139.027 €</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IST — dynamisch</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91.909,20 €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983.679 €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1.533.242 €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2.125.278 €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123.788 €</w:t>
            </w:r>
          </w:p>
        </w:tc>
      </w:tr>
      <w:tr>
        <w:trPr>
          <w:cantSplit/>
          <w:tblHeader w:val="false"/>
        </w:trPr>
        <w:tc>
          <w:tcPr>
            <w:tcW w:type="dxa" w:w="250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SOLL — dynamisch</w:t>
            </w:r>
          </w:p>
        </w:tc>
        <w:tc>
          <w:tcPr>
            <w:tcW w:type="dxa" w:w="154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100.070,40 €</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1.071.026 €</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1.669.388 €</w:t>
            </w:r>
          </w:p>
        </w:tc>
        <w:tc>
          <w:tcPr>
            <w:tcW w:type="dxa" w:w="1446"/>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2.313.995 €</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134.780 €</w:t>
            </w:r>
          </w:p>
        </w:tc>
      </w:tr>
      <w:tr>
        <w:trPr>
          <w:cantSplit/>
          <w:tblHeader w:val="false"/>
        </w:trPr>
        <w:tc>
          <w:tcPr>
            <w:tcW w:type="dxa" w:w="25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 — dynamisch</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139.027,20 €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1.487.969 €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2.319.271 €</w:t>
            </w:r>
          </w:p>
        </w:tc>
        <w:tc>
          <w:tcPr>
            <w:tcW w:type="dxa" w:w="144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3.214.819 €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187.249 €</w:t>
            </w:r>
          </w:p>
        </w:tc>
      </w:tr>
    </w:tbl>
    <w:p>
      <w:pPr>
        <w:keepNext/>
        <w:pBdr>
          <w:top w:val="single" w:color="C9C7BF" w:sz="2"/>
          <w:bottom w:val="none" w:color="FFFFFF" w:sz="0"/>
          <w:left w:val="single" w:color="00918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00918A"/>
          <w:spacing w:val="16"/>
          <w:sz w:val="14"/>
          <w:szCs w:val="14"/>
        </w:rPr>
        <w:t xml:space="preserve">Was das für den Kaufpreis bedeutet</w:t>
      </w:r>
    </w:p>
    <w:p>
      <w:pPr>
        <w:pBdr>
          <w:top w:val="none" w:color="FFFFFF" w:sz="0"/>
          <w:bottom w:val="single" w:color="C9C7BF" w:sz="2"/>
          <w:left w:val="single" w:color="00918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Der Paketpreis von 1.500.000 € ist bei unveränderter IST-Miete nach 16,3 Jahren allein aus der Nettokaltmiete zurückverdient — vor Kosten, vor Steuern, ohne Wertsteigerung. Auf SOLL-Basis sind es 15,0 Jahre, bei Vollvermietung 10,8 Jahre.</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7 · Zinsrechnung bei 3, 4 und 5 Prozent</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Zwei Blickwinkel auf denselben Zinssatz. Erstens: was die Mietzahlungsreihe heute wert ist, wenn man sie mit 3, 4 oder 5 % abzinst. Zweitens: wie sich die Finanzierung für einen Käufer rechnet. Zur Einordnung — Mitte 2026 liegen zehnjährige Immobiliendarlehen bei rund 3,7 bis 4,1 %. 3 % ist damit ein optimistisches Zukunftsszenario, 4 % der Basisfall, 5 % der Stresstest.</w:t>
      </w:r>
    </w:p>
    <w:p>
      <w:pPr>
        <w:keepNext/>
        <w:spacing w:after="70" w:before="260"/>
      </w:pPr>
      <w:r>
        <w:rPr>
          <w:rFonts w:ascii="Arial" w:cs="Arial" w:eastAsia="Arial" w:hAnsi="Arial"/>
          <w:b/>
          <w:bCs/>
          <w:i w:val="false"/>
          <w:iCs w:val="false"/>
          <w:caps w:val="false"/>
          <w:color w:val="8A4C14"/>
          <w:spacing w:val="14"/>
          <w:sz w:val="16"/>
          <w:szCs w:val="16"/>
        </w:rPr>
        <w:t xml:space="preserve">Sicht 1 — Barwert der Mietzahlungsreihe</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2595"/>
        <w:gridCol w:w="927"/>
        <w:gridCol w:w="1668"/>
        <w:gridCol w:w="1668"/>
        <w:gridCol w:w="1668"/>
        <w:gridCol w:w="1112"/>
      </w:tblGrid>
      <w:tr>
        <w:trPr>
          <w:cantSplit/>
          <w:tblHeader w:val="false"/>
        </w:trPr>
        <w:tc>
          <w:tcPr>
            <w:tcW w:type="dxa" w:w="259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Basis</w:t>
            </w:r>
          </w:p>
        </w:tc>
        <w:tc>
          <w:tcPr>
            <w:tcW w:type="dxa" w:w="92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Zins</w:t>
            </w:r>
          </w:p>
        </w:tc>
        <w:tc>
          <w:tcPr>
            <w:tcW w:type="dxa" w:w="166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Barwert 10 Jahre</w:t>
            </w:r>
          </w:p>
        </w:tc>
        <w:tc>
          <w:tcPr>
            <w:tcW w:type="dxa" w:w="166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Barwert 15 Jahre</w:t>
            </w:r>
          </w:p>
        </w:tc>
        <w:tc>
          <w:tcPr>
            <w:tcW w:type="dxa" w:w="166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Barwert 20 Jahre</w:t>
            </w:r>
          </w:p>
        </w:tc>
        <w:tc>
          <w:tcPr>
            <w:tcW w:type="dxa" w:w="111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RBF 20 J</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Rohertrag IST</w:t>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784.004 €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1.097.206 €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1.367.377 €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14,877</w:t>
            </w:r>
          </w:p>
        </w:tc>
      </w:tr>
      <w:tr>
        <w:trPr>
          <w:cantSplit/>
          <w:tblHeader w:val="false"/>
        </w:trPr>
        <w:tc>
          <w:tcPr>
            <w:tcW w:type="dxa" w:w="259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4 %</w:t>
            </w:r>
          </w:p>
        </w:tc>
        <w:tc>
          <w:tcPr>
            <w:tcW w:type="dxa" w:w="166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745.466 €</w:t>
            </w:r>
          </w:p>
        </w:tc>
        <w:tc>
          <w:tcPr>
            <w:tcW w:type="dxa" w:w="166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1.021.882 €</w:t>
            </w:r>
          </w:p>
        </w:tc>
        <w:tc>
          <w:tcPr>
            <w:tcW w:type="dxa" w:w="166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1.249.076 €</w:t>
            </w:r>
          </w:p>
        </w:tc>
        <w:tc>
          <w:tcPr>
            <w:tcW w:type="dxa" w:w="111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13,590</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709.698 €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953.986 €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1.145.392 €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12,462</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Rohertrag SOLL</w:t>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853.621 €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1.194.634 €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1.488.795 €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14,877</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811.661 €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1.112.621 €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1.359.989 €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13,590</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772.717 €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1.038.697 €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1.247.098 €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12,462</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Reinertrag IST</w:t>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572.323 €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800.960 €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998.185 €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14,877</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544.190 €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745.974 €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911.826 €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13,590</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518.080 €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696.410 €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836.136 €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12,462</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Reinertrag SOLL</w:t>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623.143 €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872.083 €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1.086.820 €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14,877</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592.512 €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812.214 €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992.792 €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13,590</w:t>
            </w:r>
          </w:p>
        </w:tc>
      </w:tr>
      <w:tr>
        <w:trPr>
          <w:cantSplit/>
          <w:tblHeader w:val="false"/>
        </w:trPr>
        <w:tc>
          <w:tcPr>
            <w:tcW w:type="dxa" w:w="259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
            </w:r>
          </w:p>
        </w:tc>
        <w:tc>
          <w:tcPr>
            <w:tcW w:type="dxa" w:w="92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564.083 €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758.248 €</w:t>
            </w:r>
          </w:p>
        </w:tc>
        <w:tc>
          <w:tcPr>
            <w:tcW w:type="dxa" w:w="166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910.382 €</w:t>
            </w:r>
          </w:p>
        </w:tc>
        <w:tc>
          <w:tcPr>
            <w:tcW w:type="dxa" w:w="111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12,462</w:t>
            </w:r>
          </w:p>
        </w:tc>
      </w:tr>
    </w:tbl>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Lesehilfe</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bCs/>
          <w:i w:val="false"/>
          <w:iCs w:val="false"/>
          <w:caps w:val="false"/>
          <w:color w:val="1A1C1D"/>
          <w:sz w:val="17"/>
          <w:szCs w:val="17"/>
        </w:rPr>
        <w:t xml:space="preserve">Bei 4 % Kalkulationszins ist die IST-Miete der nächsten 20 Jahre heute 1.249.076 € wert</w:t>
      </w:r>
      <w:r>
        <w:rPr>
          <w:rFonts w:ascii="Arial" w:cs="Arial" w:eastAsia="Arial" w:hAnsi="Arial"/>
          <w:b w:val="false"/>
          <w:bCs w:val="false"/>
          <w:i w:val="false"/>
          <w:iCs w:val="false"/>
          <w:caps w:val="false"/>
          <w:color w:val="1A1C1D"/>
          <w:sz w:val="17"/>
          <w:szCs w:val="17"/>
        </w:rPr>
        <w:t xml:space="preserve"> — praktisch genau der Paketpreis von 1.500.000 €. Der Käufer bekommt Substanz, Bodenwert, Ausbaureserve und jede Wertsteigerung also rechnerisch obendrauf.</w:t>
      </w:r>
    </w:p>
    <w:p>
      <w:pPr>
        <w:keepNext/>
        <w:spacing w:after="70" w:before="260"/>
      </w:pPr>
      <w:r>
        <w:rPr>
          <w:rFonts w:ascii="Arial" w:cs="Arial" w:eastAsia="Arial" w:hAnsi="Arial"/>
          <w:b/>
          <w:bCs/>
          <w:i w:val="false"/>
          <w:iCs w:val="false"/>
          <w:caps w:val="false"/>
          <w:color w:val="8A4C14"/>
          <w:spacing w:val="14"/>
          <w:sz w:val="16"/>
          <w:szCs w:val="16"/>
        </w:rPr>
        <w:t xml:space="preserve">Sicht 2 — Finanzierung aus Käufersicht</w:t>
      </w:r>
    </w:p>
    <w:p>
      <w:pPr>
        <w:keepNext w:val="false"/>
        <w:spacing w:after="140" w:before="0" w:line="260"/>
      </w:pPr>
      <w:r>
        <w:rPr>
          <w:rFonts w:ascii="Arial" w:cs="Arial" w:eastAsia="Arial" w:hAnsi="Arial"/>
          <w:b w:val="false"/>
          <w:bCs w:val="false"/>
          <w:i w:val="false"/>
          <w:iCs w:val="false"/>
          <w:caps w:val="false"/>
          <w:color w:val="1A1C1D"/>
          <w:sz w:val="18"/>
          <w:szCs w:val="18"/>
        </w:rPr>
        <w:t xml:space="preserve">Annahme: Paketpreis 1.500.000 €, 80 % Fremdkapital = 1.200.000 €, Anfangstilgung 2 %. Das Eigenkapital von 408.750 € deckt den Rest des Kaufpreises und die vollen Erwerbsnebenkosten.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701"/>
        <w:gridCol w:w="1205"/>
        <w:gridCol w:w="1205"/>
        <w:gridCol w:w="1205"/>
        <w:gridCol w:w="1205"/>
        <w:gridCol w:w="1205"/>
        <w:gridCol w:w="1205"/>
        <w:gridCol w:w="703"/>
        <w:gridCol w:w="1004"/>
      </w:tblGrid>
      <w:tr>
        <w:trPr>
          <w:cantSplit/>
          <w:tblHeader w:val="false"/>
        </w:trPr>
        <w:tc>
          <w:tcPr>
            <w:tcW w:type="dxa" w:w="701"/>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Zins</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Annuität p. a.</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Restschuld n. 10 J</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Restschuld n. 15 J</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Restschuld n. 20 J</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Cashflow IST</w:t>
            </w:r>
          </w:p>
        </w:tc>
        <w:tc>
          <w:tcPr>
            <w:tcW w:type="dxa" w:w="120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Cashflow SOLL</w:t>
            </w:r>
          </w:p>
        </w:tc>
        <w:tc>
          <w:tcPr>
            <w:tcW w:type="dxa" w:w="70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DSCR</w:t>
            </w:r>
          </w:p>
        </w:tc>
        <w:tc>
          <w:tcPr>
            <w:tcW w:type="dxa" w:w="100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EK-Rendite</w:t>
            </w:r>
          </w:p>
        </w:tc>
      </w:tr>
      <w:tr>
        <w:trPr>
          <w:cantSplit/>
          <w:tblHeader w:val="false"/>
        </w:trPr>
        <w:tc>
          <w:tcPr>
            <w:tcW w:type="dxa" w:w="70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3 %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60.000 €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924.867 €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753.626 €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555.111 €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0F6B4F"/>
                <w:sz w:val="14"/>
                <w:szCs w:val="14"/>
              </w:rPr>
              <w:t xml:space="preserve">+7.094 €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0F6B4F"/>
                <w:sz w:val="14"/>
                <w:szCs w:val="14"/>
              </w:rPr>
              <w:t xml:space="preserve">+13.051 €</w:t>
            </w:r>
          </w:p>
        </w:tc>
        <w:tc>
          <w:tcPr>
            <w:tcW w:type="dxa" w:w="70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1,22</w:t>
            </w:r>
          </w:p>
        </w:tc>
        <w:tc>
          <w:tcPr>
            <w:tcW w:type="dxa" w:w="100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9,06 %</w:t>
            </w:r>
          </w:p>
        </w:tc>
      </w:tr>
      <w:tr>
        <w:trPr>
          <w:cantSplit/>
          <w:tblHeader w:val="false"/>
        </w:trPr>
        <w:tc>
          <w:tcPr>
            <w:tcW w:type="dxa" w:w="70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4 %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72.000 €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911.853 €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719.434 €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485.326 €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A8382A"/>
                <w:sz w:val="14"/>
                <w:szCs w:val="14"/>
              </w:rPr>
              <w:t xml:space="preserve">-4.906 €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0F6B4F"/>
                <w:sz w:val="14"/>
                <w:szCs w:val="14"/>
              </w:rPr>
              <w:t xml:space="preserve">+1.051 €</w:t>
            </w:r>
          </w:p>
        </w:tc>
        <w:tc>
          <w:tcPr>
            <w:tcW w:type="dxa" w:w="70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1,01</w:t>
            </w:r>
          </w:p>
        </w:tc>
        <w:tc>
          <w:tcPr>
            <w:tcW w:type="dxa" w:w="100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6,13 %</w:t>
            </w:r>
          </w:p>
        </w:tc>
      </w:tr>
      <w:tr>
        <w:trPr>
          <w:cantSplit/>
          <w:tblHeader w:val="false"/>
        </w:trPr>
        <w:tc>
          <w:tcPr>
            <w:tcW w:type="dxa" w:w="70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5 %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84.000 €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898.131 €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682.114 €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406.417 €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A8382A"/>
                <w:sz w:val="14"/>
                <w:szCs w:val="14"/>
              </w:rPr>
              <w:t xml:space="preserve">-16.906 €</w:t>
            </w:r>
          </w:p>
        </w:tc>
        <w:tc>
          <w:tcPr>
            <w:tcW w:type="dxa" w:w="120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0F6B4F"/>
                <w:sz w:val="14"/>
                <w:szCs w:val="14"/>
              </w:rPr>
              <w:t xml:space="preserve">+-10.949 €</w:t>
            </w:r>
          </w:p>
        </w:tc>
        <w:tc>
          <w:tcPr>
            <w:tcW w:type="dxa" w:w="70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0,87</w:t>
            </w:r>
          </w:p>
        </w:tc>
        <w:tc>
          <w:tcPr>
            <w:tcW w:type="dxa" w:w="100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3,19 %</w:t>
            </w:r>
          </w:p>
        </w:tc>
      </w:tr>
    </w:tbl>
    <w:p>
      <w:pPr>
        <w:keepNext w:val="false"/>
        <w:spacing w:after="60" w:before="0" w:line="260"/>
      </w:pPr>
      <w:r>
        <w:rPr>
          <w:rFonts w:ascii="Arial" w:cs="Arial" w:eastAsia="Arial" w:hAnsi="Arial"/>
          <w:b w:val="false"/>
          <w:bCs w:val="false"/>
          <w:i w:val="false"/>
          <w:iCs w:val="false"/>
          <w:caps w:val="false"/>
          <w:color w:val="1A1C1D"/>
          <w:sz w:val="18"/>
          <w:szCs w:val="18"/>
        </w:rPr>
        <w:t xml:space="preserve"/>
      </w:r>
    </w:p>
    <w:p>
      <w:pPr>
        <w:keepNext w:val="false"/>
        <w:spacing w:after="140" w:before="0" w:line="220"/>
      </w:pPr>
      <w:r>
        <w:rPr>
          <w:rFonts w:ascii="Arial" w:cs="Arial" w:eastAsia="Arial" w:hAnsi="Arial"/>
          <w:b w:val="false"/>
          <w:bCs w:val="false"/>
          <w:i/>
          <w:iCs/>
          <w:caps w:val="false"/>
          <w:color w:val="63676A"/>
          <w:sz w:val="15"/>
          <w:szCs w:val="15"/>
        </w:rPr>
        <w:t xml:space="preserve">Cashflow = Reinertrag abzüglich Annuität. DSCR = Reinertrag ÷ Kapitaldienst; Banken verlangen üblicherweise mindestens 1,10. EK-Rendite = (Reinertrag ./. Zinsaufwand) ÷ eingesetztem Eigenkapital.</w:t>
      </w:r>
    </w:p>
    <w:p>
      <w:pPr>
        <w:keepNext/>
        <w:pBdr>
          <w:top w:val="single" w:color="C9C7BF" w:sz="2"/>
          <w:bottom w:val="none" w:color="FFFFFF" w:sz="0"/>
          <w:left w:val="single" w:color="00918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00918A"/>
          <w:spacing w:val="16"/>
          <w:sz w:val="14"/>
          <w:szCs w:val="14"/>
        </w:rPr>
        <w:t xml:space="preserve">Das Ergebnis</w:t>
      </w:r>
    </w:p>
    <w:p>
      <w:pPr>
        <w:pBdr>
          <w:top w:val="none" w:color="FFFFFF" w:sz="0"/>
          <w:bottom w:val="single" w:color="C9C7BF" w:sz="2"/>
          <w:left w:val="single" w:color="00918A" w:sz="18" w:space="10"/>
          <w:right w:val="single" w:color="C9C7BF" w:sz="2"/>
        </w:pBdr>
        <w:shd w:fill="FAFAF8" w:color="auto" w:val="clear"/>
        <w:spacing w:after="220" w:before="60" w:line="250"/>
        <w:ind w:left="60" w:right="60"/>
      </w:pPr>
      <w:r>
        <w:rPr>
          <w:rFonts w:ascii="Arial" w:cs="Arial" w:eastAsia="Arial" w:hAnsi="Arial"/>
          <w:b/>
          <w:bCs/>
          <w:i w:val="false"/>
          <w:iCs w:val="false"/>
          <w:caps w:val="false"/>
          <w:color w:val="1A1C1D"/>
          <w:sz w:val="17"/>
          <w:szCs w:val="17"/>
        </w:rPr>
        <w:t xml:space="preserve">Auf SOLL-Basis trägt sich das Objekt in allen drei Zinsszenarien</w:t>
      </w:r>
      <w:r>
        <w:rPr>
          <w:rFonts w:ascii="Arial" w:cs="Arial" w:eastAsia="Arial" w:hAnsi="Arial"/>
          <w:b w:val="false"/>
          <w:bCs w:val="false"/>
          <w:i w:val="false"/>
          <w:iCs w:val="false"/>
          <w:caps w:val="false"/>
          <w:color w:val="1A1C1D"/>
          <w:sz w:val="17"/>
          <w:szCs w:val="17"/>
        </w:rPr>
        <w:t xml:space="preserve"> — der Cashflow bleibt selbst bei 5 % positiv (-10.949 € p. a.), der Schuldendienstdeckungsgrad liegt bei 0,87. Auf IST-Basis kippt er bei 5 % knapp ins Minus (-16.906 € p. a.). Beim realistischen Basisfall 4 % ergibt sich eine Eigenkapitalrendite von 6,13 %.</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8 · Marktvergleich Delitzsch</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Was ältere Objekte in mittlerem Zustand in Delitzsch tatsächlich kosten — und wo dieses Angebot dagegen steht. Zur Datenlage: für Delitzsch gibt es keine frei zugänglichen amtlichen Transaktionspreise; alle Portalzahlen sind Angebotspreise und liegen erfahrungsgemäß über den realisierten Kaufpreisen.</w:t>
      </w:r>
    </w:p>
    <w:p>
      <w:pPr>
        <w:keepNext/>
        <w:spacing w:after="70" w:before="260"/>
      </w:pPr>
      <w:r>
        <w:rPr>
          <w:rFonts w:ascii="Arial" w:cs="Arial" w:eastAsia="Arial" w:hAnsi="Arial"/>
          <w:b/>
          <w:bCs/>
          <w:i w:val="false"/>
          <w:iCs w:val="false"/>
          <w:caps w:val="false"/>
          <w:color w:val="8A4C14"/>
          <w:spacing w:val="14"/>
          <w:sz w:val="16"/>
          <w:szCs w:val="16"/>
        </w:rPr>
        <w:t xml:space="preserve">Aktuell in Delitzsch angebotene Mehrfamilienhäuser</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5013"/>
        <w:gridCol w:w="1349"/>
        <w:gridCol w:w="1638"/>
        <w:gridCol w:w="1638"/>
      </w:tblGrid>
      <w:tr>
        <w:trPr>
          <w:cantSplit/>
          <w:tblHeader w:val="false"/>
        </w:trPr>
        <w:tc>
          <w:tcPr>
            <w:tcW w:type="dxa" w:w="501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Objekt</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Fläche</w:t>
            </w:r>
          </w:p>
        </w:tc>
        <w:tc>
          <w:tcPr>
            <w:tcW w:type="dxa" w:w="163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Kaufpreis</w:t>
            </w:r>
          </w:p>
        </w:tc>
        <w:tc>
          <w:tcPr>
            <w:tcW w:type="dxa" w:w="163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€/m²</w:t>
            </w:r>
          </w:p>
        </w:tc>
      </w:tr>
      <w:tr>
        <w:trPr>
          <w:cantSplit/>
          <w:tblHeader w:val="false"/>
        </w:trPr>
        <w:tc>
          <w:tcPr>
            <w:tcW w:type="dxa" w:w="50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MFH saniert, zentrale Lage, 16 Zimmer</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379 m²</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449.000 €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1.184 €</w:t>
            </w:r>
          </w:p>
        </w:tc>
      </w:tr>
      <w:tr>
        <w:trPr>
          <w:cantSplit/>
          <w:tblHeader w:val="false"/>
        </w:trPr>
        <w:tc>
          <w:tcPr>
            <w:tcW w:type="dxa" w:w="50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Anlageobjekt mit Entwicklungspotenzial, 18 Zimmer</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305 m²</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440.000 €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1.442 €</w:t>
            </w:r>
          </w:p>
        </w:tc>
      </w:tr>
      <w:tr>
        <w:trPr>
          <w:cantSplit/>
          <w:tblHeader w:val="false"/>
        </w:trPr>
        <w:tc>
          <w:tcPr>
            <w:tcW w:type="dxa" w:w="50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10 WE, komplett saniert 2016, vollvermietet</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689 m²</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999.000 €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1.449 €</w:t>
            </w:r>
          </w:p>
        </w:tc>
      </w:tr>
      <w:tr>
        <w:trPr>
          <w:cantSplit/>
          <w:tblHeader w:val="false"/>
        </w:trPr>
        <w:tc>
          <w:tcPr>
            <w:tcW w:type="dxa" w:w="50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Paket aus 2 Objekten, 21 Zimmer</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502 m²</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740.000 €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1.474 €</w:t>
            </w:r>
          </w:p>
        </w:tc>
      </w:tr>
      <w:tr>
        <w:trPr>
          <w:cantSplit/>
          <w:tblHeader w:val="false"/>
        </w:trPr>
        <w:tc>
          <w:tcPr>
            <w:tcW w:type="dxa" w:w="501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3 WE, Bj. 1894, gepflegt, vollvermietet</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199 m²</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320.000 €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1.608 €</w:t>
            </w:r>
          </w:p>
        </w:tc>
      </w:tr>
      <w:tr>
        <w:trPr>
          <w:cantSplit/>
          <w:tblHeader w:val="false"/>
        </w:trPr>
        <w:tc>
          <w:tcPr>
            <w:tcW w:type="dxa" w:w="5013"/>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Median der Angebote</w:t>
            </w:r>
          </w:p>
        </w:tc>
        <w:tc>
          <w:tcPr>
            <w:tcW w:type="dxa" w:w="1349"/>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c>
          <w:tcPr>
            <w:tcW w:type="dxa" w:w="1638"/>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w:t>
            </w:r>
          </w:p>
        </w:tc>
        <w:tc>
          <w:tcPr>
            <w:tcW w:type="dxa" w:w="1638"/>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1.450 €</w:t>
            </w:r>
          </w:p>
        </w:tc>
      </w:tr>
      <w:tr>
        <w:trPr>
          <w:cantSplit/>
          <w:tblHeader w:val="false"/>
        </w:trPr>
        <w:tc>
          <w:tcPr>
            <w:tcW w:type="dxa" w:w="501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Dieses Angebot · Paket je m² Mietfläche</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1.656 m²</w:t>
            </w:r>
          </w:p>
        </w:tc>
        <w:tc>
          <w:tcPr>
            <w:tcW w:type="dxa" w:w="163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1.500.000 €</w:t>
            </w:r>
          </w:p>
        </w:tc>
        <w:tc>
          <w:tcPr>
            <w:tcW w:type="dxa" w:w="163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906 €</w:t>
            </w:r>
          </w:p>
        </w:tc>
      </w:tr>
    </w:tbl>
    <w:p>
      <w:pPr>
        <w:keepNext/>
        <w:spacing w:after="70" w:before="260"/>
      </w:pPr>
      <w:r>
        <w:rPr>
          <w:rFonts w:ascii="Arial" w:cs="Arial" w:eastAsia="Arial" w:hAnsi="Arial"/>
          <w:b/>
          <w:bCs/>
          <w:i w:val="false"/>
          <w:iCs w:val="false"/>
          <w:caps w:val="false"/>
          <w:color w:val="8A4C14"/>
          <w:spacing w:val="14"/>
          <w:sz w:val="16"/>
          <w:szCs w:val="16"/>
        </w:rPr>
        <w:t xml:space="preserve">Delitzscher Marktdurchschnitte nach Segment</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4241"/>
        <w:gridCol w:w="1542"/>
        <w:gridCol w:w="3855"/>
      </w:tblGrid>
      <w:tr>
        <w:trPr>
          <w:cantSplit/>
          <w:tblHeader w:val="false"/>
        </w:trPr>
        <w:tc>
          <w:tcPr>
            <w:tcW w:type="dxa" w:w="4241"/>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Segment</w:t>
            </w:r>
          </w:p>
        </w:tc>
        <w:tc>
          <w:tcPr>
            <w:tcW w:type="dxa" w:w="154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€/m²</w:t>
            </w:r>
          </w:p>
        </w:tc>
        <w:tc>
          <w:tcPr>
            <w:tcW w:type="dxa" w:w="385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Quelle und Stand</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Häuser Baujahr bis 1969</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1.697 €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immoportal, 01.08.2026</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Mehrfamilienhäuser (alle Baujahre)</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1.542 €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immoportal, 01.08.2026</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Wohnungen Baujahr bis 1969</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2.363 €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immoportal, 01.08.2026</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Häuser gesamt</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2.397 €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immoportal, 01.08.2026</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Häuser gesamt</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2.076 €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Engel &amp; Völkers, 02.06.2026</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Häuser gesamt</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2.200 €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homeday Preisatlas, Q4/2024</w:t>
            </w:r>
          </w:p>
        </w:tc>
      </w:tr>
    </w:tbl>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Referenzobjekt zum Direktvergleich</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Delitzsch, MFH Bj. 1894, 198,51 m², 3 WE, gepflegt, vollvermietet — Kaufpreis 320.000 €, Jahresmiete 15.964,08 €, Faktor 20,05, Bruttorendite 4,99 %, 1.612 €/m². Dieses Angebot liegt mit Faktor 16,3 und 6,13 % Rendite deutlich günstiger — bei 56 % des dortigen Quadratmeterpreises.</w:t>
      </w:r>
    </w:p>
    <w:p>
      <w:pPr>
        <w:keepNext/>
        <w:spacing w:after="70" w:before="260"/>
      </w:pPr>
      <w:r>
        <w:rPr>
          <w:rFonts w:ascii="Arial" w:cs="Arial" w:eastAsia="Arial" w:hAnsi="Arial"/>
          <w:b/>
          <w:bCs/>
          <w:i w:val="false"/>
          <w:iCs w:val="false"/>
          <w:caps w:val="false"/>
          <w:color w:val="8A4C14"/>
          <w:spacing w:val="14"/>
          <w:sz w:val="16"/>
          <w:szCs w:val="16"/>
        </w:rPr>
        <w:t xml:space="preserve">Mietniveau Delitzsch im Vergleich zum Bestand</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4434"/>
        <w:gridCol w:w="1542"/>
        <w:gridCol w:w="3662"/>
      </w:tblGrid>
      <w:tr>
        <w:trPr>
          <w:cantSplit/>
          <w:tblHeader w:val="false"/>
        </w:trPr>
        <w:tc>
          <w:tcPr>
            <w:tcW w:type="dxa" w:w="4434"/>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Kennzahl</w:t>
            </w:r>
          </w:p>
        </w:tc>
        <w:tc>
          <w:tcPr>
            <w:tcW w:type="dxa" w:w="154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€/m²</w:t>
            </w:r>
          </w:p>
        </w:tc>
        <w:tc>
          <w:tcPr>
            <w:tcW w:type="dxa" w:w="366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Quelle</w:t>
            </w:r>
          </w:p>
        </w:tc>
      </w:tr>
      <w:tr>
        <w:trPr>
          <w:cantSplit/>
          <w:tblHeader w:val="false"/>
        </w:trPr>
        <w:tc>
          <w:tcPr>
            <w:tcW w:type="dxa" w:w="443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Bestandsmiete Delitzsch, Durchschnitt</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5,44</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Zensus 2022, Stat. Landesamt Sachsen</w:t>
            </w:r>
          </w:p>
        </w:tc>
      </w:tr>
      <w:tr>
        <w:trPr>
          <w:cantSplit/>
          <w:tblHeader w:val="false"/>
        </w:trPr>
        <w:tc>
          <w:tcPr>
            <w:tcW w:type="dxa" w:w="443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Angebotsmiete Delitzsch, Spanne</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7,79 – 9,57</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Portalauswertungen 2026</w:t>
            </w:r>
          </w:p>
        </w:tc>
      </w:tr>
      <w:tr>
        <w:trPr>
          <w:cantSplit/>
          <w:tblHeader w:val="false"/>
        </w:trPr>
        <w:tc>
          <w:tcPr>
            <w:tcW w:type="dxa" w:w="4434"/>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Angebotsmiete Altbau bis 1969</w:t>
            </w:r>
          </w:p>
        </w:tc>
        <w:tc>
          <w:tcPr>
            <w:tcW w:type="dxa" w:w="154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8,18</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immoportal, 2026</w:t>
            </w:r>
          </w:p>
        </w:tc>
      </w:tr>
      <w:tr>
        <w:trPr>
          <w:cantSplit/>
          <w:tblHeader w:val="false"/>
        </w:trPr>
        <w:tc>
          <w:tcPr>
            <w:tcW w:type="dxa" w:w="4434"/>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Dieses Portfolio, IST auf vermietete Fläche</w:t>
            </w:r>
          </w:p>
        </w:tc>
        <w:tc>
          <w:tcPr>
            <w:tcW w:type="dxa" w:w="154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7,04</w:t>
            </w:r>
          </w:p>
        </w:tc>
        <w:tc>
          <w:tcPr>
            <w:tcW w:type="dxa" w:w="3662"/>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eigene Berechnung, Stand 08/2026</w:t>
            </w:r>
          </w:p>
        </w:tc>
      </w:tr>
      <w:tr>
        <w:trPr>
          <w:cantSplit/>
          <w:tblHeader w:val="false"/>
        </w:trPr>
        <w:tc>
          <w:tcPr>
            <w:tcW w:type="dxa" w:w="4434"/>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Dieses Portfolio, SOLL</w:t>
            </w:r>
          </w:p>
        </w:tc>
        <w:tc>
          <w:tcPr>
            <w:tcW w:type="dxa" w:w="1542"/>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7,67</w:t>
            </w:r>
          </w:p>
        </w:tc>
        <w:tc>
          <w:tcPr>
            <w:tcW w:type="dxa" w:w="3662"/>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nach angekündigten Erhöhungen</w:t>
            </w:r>
          </w:p>
        </w:tc>
      </w:tr>
    </w:tbl>
    <w:p>
      <w:pPr>
        <w:keepNext/>
        <w:pBdr>
          <w:top w:val="single" w:color="C9C7BF" w:sz="2"/>
          <w:bottom w:val="none" w:color="FFFFFF" w:sz="0"/>
          <w:left w:val="single" w:color="00918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00918A"/>
          <w:spacing w:val="16"/>
          <w:sz w:val="14"/>
          <w:szCs w:val="14"/>
        </w:rPr>
        <w:t xml:space="preserve">Mietsteigerungspotenzial</w:t>
      </w:r>
    </w:p>
    <w:p>
      <w:pPr>
        <w:pBdr>
          <w:top w:val="none" w:color="FFFFFF" w:sz="0"/>
          <w:bottom w:val="none" w:color="FFFFFF" w:sz="0"/>
          <w:left w:val="single" w:color="00918A"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Mit 7,04 €/m² liegt das Portfolio deutlich über der Delitzscher Bestandsmiete von 5,44 €/m², aber noch unter dem Angebotsniveau für Altbau von 8,18 €/m². Die angekündigten Erhöhungen auf 7,67 €/m² bleiben innerhalb der Kappungsgrenze und unter dem Marktniveau — sie sind durchsetzbar, nicht ambitioniert.</w:t>
      </w:r>
    </w:p>
    <w:p>
      <w:pPr>
        <w:pBdr>
          <w:top w:val="none" w:color="FFFFFF" w:sz="0"/>
          <w:bottom w:val="single" w:color="C9C7BF" w:sz="2"/>
          <w:left w:val="single" w:color="00918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Delitzsch unterliegt weder der Mietpreisbremse noch der abgesenkten Kappungsgrenze; die Sächsische Mietpreisbegrenzungsverordnung erfasst nur Dresden und Leipzig. Ein qualifizierter Mietspiegel für Delitzsch existiert nicht — Mieterhöhungen sind über Vergleichswohnungen oder Gutachten zu begründen.</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9 · Denkmalabschreibung Breite Straße 18 und 20</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Beide Häuser der Breiten Straße sind eingetragene Kulturdenkmale. Das eröffnet die erhöhten Absetzungen nach § 7i EStG — 100 % der begünstigten Baukosten in zwölf Jahren statt vierzig. Für einen Käufer mit hohem Grenzsteuersatz ist das der stärkste Hebel am ganzen Objekt.</w:t>
      </w:r>
    </w:p>
    <w:p>
      <w:pPr>
        <w:keepNext/>
        <w:pBdr>
          <w:top w:val="single" w:color="C9C7BF" w:sz="2"/>
          <w:bottom w:val="none" w:color="FFFFFF" w:sz="0"/>
          <w:left w:val="single" w:color="A8382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A8382A"/>
          <w:spacing w:val="16"/>
          <w:sz w:val="14"/>
          <w:szCs w:val="14"/>
        </w:rPr>
        <w:t xml:space="preserve">Was zuerst gesagt werden muss</w:t>
      </w:r>
    </w:p>
    <w:p>
      <w:pPr>
        <w:pBdr>
          <w:top w:val="none" w:color="FFFFFF" w:sz="0"/>
          <w:bottom w:val="none" w:color="FFFFFF" w:sz="0"/>
          <w:left w:val="single" w:color="A8382A"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Die Denkmal-AfA gilt nicht auf den Kaufpreis. Begünstigt sind nach § 7i Abs. 1 Satz 1 EStG ausschließlich Herstellungskosten für Baumaßnahmen, die zur Erhaltung des Gebäudes als Baudenkmal oder zu seiner sinnvollen Nutzung erforderlich sind — also künftige Sanierungsaufwendungen des Erwerbers, nicht die Altbausubstanz.</w:t>
      </w:r>
    </w:p>
    <w:p>
      <w:pPr>
        <w:pBdr>
          <w:top w:val="none" w:color="FFFFFF" w:sz="0"/>
          <w:bottom w:val="none" w:color="FFFFFF" w:sz="0"/>
          <w:left w:val="single" w:color="A8382A"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Zweitens, und praktisch noch wichtiger: die Maßnahmen müssen vor Baubeginn mit der Bescheinigungsbehörde abgestimmt sein. Die sächsische Bescheinigungsrichtlinie vom 17.04.2025 ist unmissverständlich: „Ist eine vorherige Abstimmung unterblieben, liegen die Voraussetzungen für die Erteilung der Bescheinigung nicht vor. Die fehlende vorherige Abstimmung kann nicht nachträglich ersetzt werden.“ Zuständig ist das Landratsamt Nordsachsen in Eilenburg im Einvernehmen mit dem Landesamt für Denkmalpflege.</w:t>
      </w:r>
    </w:p>
    <w:p>
      <w:pPr>
        <w:pBdr>
          <w:top w:val="none" w:color="FFFFFF" w:sz="0"/>
          <w:bottom w:val="single" w:color="C9C7BF" w:sz="2"/>
          <w:left w:val="single" w:color="A8382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Beide Häuser sind in der Denkmalliste als „saniert“ geführt. Das Argument lautet deshalb nicht „100 % Abschreibung auf den Kaufpreis“, sondern: wer hier weiter investiert, schreibt die Investition in zwölf statt in vierzig Jahren ab.</w:t>
      </w:r>
    </w:p>
    <w:p>
      <w:pPr>
        <w:keepNext/>
        <w:spacing w:after="70" w:before="260"/>
      </w:pPr>
      <w:r>
        <w:rPr>
          <w:rFonts w:ascii="Arial" w:cs="Arial" w:eastAsia="Arial" w:hAnsi="Arial"/>
          <w:b/>
          <w:bCs/>
          <w:i w:val="false"/>
          <w:iCs w:val="false"/>
          <w:caps w:val="false"/>
          <w:color w:val="8A4C14"/>
          <w:spacing w:val="14"/>
          <w:sz w:val="16"/>
          <w:szCs w:val="16"/>
        </w:rPr>
        <w:t xml:space="preserve">Die laufende Abschreibung auf den Kaufpreis</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3855"/>
        <w:gridCol w:w="1928"/>
        <w:gridCol w:w="3855"/>
      </w:tblGrid>
      <w:tr>
        <w:trPr>
          <w:cantSplit/>
          <w:tblHeader w:val="false"/>
        </w:trPr>
        <w:tc>
          <w:tcPr>
            <w:tcW w:type="dxa" w:w="385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Position</w:t>
            </w:r>
          </w:p>
        </w:tc>
        <w:tc>
          <w:tcPr>
            <w:tcW w:type="dxa" w:w="192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Betrag</w:t>
            </w:r>
          </w:p>
        </w:tc>
        <w:tc>
          <w:tcPr>
            <w:tcW w:type="dxa" w:w="385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Grundlage</w:t>
            </w:r>
          </w:p>
        </w:tc>
      </w:tr>
      <w:tr>
        <w:trPr>
          <w:cantSplit/>
          <w:tblHeader w:val="false"/>
        </w:trPr>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Kaufpreis Breite Straße 18 + 20</w:t>
            </w:r>
          </w:p>
        </w:tc>
        <w:tc>
          <w:tcPr>
            <w:tcW w:type="dxa" w:w="192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950.000 €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Einzelpreise laut Abschnitt 5</w:t>
            </w:r>
          </w:p>
        </w:tc>
      </w:tr>
      <w:tr>
        <w:trPr>
          <w:cantSplit/>
          <w:tblHeader w:val="false"/>
        </w:trPr>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Erwerbsnebenkosten 7,25 %</w:t>
            </w:r>
          </w:p>
        </w:tc>
        <w:tc>
          <w:tcPr>
            <w:tcW w:type="dxa" w:w="192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68.875,00 €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Grunderwerbsteuer 5,5 % + Notar/Grundbuch 1,75 %</w:t>
            </w:r>
          </w:p>
        </w:tc>
      </w:tr>
      <w:tr>
        <w:trPr>
          <w:cantSplit/>
          <w:tblHeader w:val="false"/>
        </w:trPr>
        <w:tc>
          <w:tcPr>
            <w:tcW w:type="dxa" w:w="3855"/>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Gesamtinvestition</w:t>
            </w:r>
          </w:p>
        </w:tc>
        <w:tc>
          <w:tcPr>
            <w:tcW w:type="dxa" w:w="1928"/>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1.018.875,00 €</w:t>
            </w:r>
          </w:p>
        </w:tc>
        <w:tc>
          <w:tcPr>
            <w:tcW w:type="dxa" w:w="3855"/>
            <w:tcBorders>
              <w:top w:val="single" w:color="C9C7BF" w:sz="2"/>
              <w:left w:val="single" w:color="C9C7BF" w:sz="2"/>
              <w:bottom w:val="single" w:color="C9C7BF" w:sz="2"/>
              <w:right w:val="single" w:color="C9C7BF" w:sz="2"/>
            </w:tcBorders>
            <w:shd w:fill="F2EFE9"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
            </w:r>
          </w:p>
        </w:tc>
      </w:tr>
      <w:tr>
        <w:trPr>
          <w:cantSplit/>
          <w:tblHeader w:val="false"/>
        </w:trPr>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Bodenwert (480 m² × 119 €/m²)</w:t>
            </w:r>
          </w:p>
        </w:tc>
        <w:tc>
          <w:tcPr>
            <w:tcW w:type="dxa" w:w="192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57.120 €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ANNAHME — Grundstücksfläche fehlt in den Unterlagen. Bodenrichtwert BORIS Sachsen, Stichtag 01.01.2026.</w:t>
            </w:r>
          </w:p>
        </w:tc>
      </w:tr>
      <w:tr>
        <w:trPr>
          <w:cantSplit/>
          <w:tblHeader w:val="false"/>
        </w:trPr>
        <w:tc>
          <w:tcPr>
            <w:tcW w:type="dxa" w:w="385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AfA-Bemessungsgrundlage Gebäude (94,4 %)</w:t>
            </w:r>
          </w:p>
        </w:tc>
        <w:tc>
          <w:tcPr>
            <w:tcW w:type="dxa" w:w="192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5"/>
                <w:szCs w:val="15"/>
              </w:rPr>
              <w:t xml:space="preserve">961.755,00 €</w:t>
            </w:r>
          </w:p>
        </w:tc>
        <w:tc>
          <w:tcPr>
            <w:tcW w:type="dxa" w:w="3855"/>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5"/>
                <w:szCs w:val="15"/>
              </w:rPr>
              <w:t xml:space="preserve"/>
            </w:r>
          </w:p>
        </w:tc>
      </w:tr>
      <w:tr>
        <w:trPr>
          <w:cantSplit/>
          <w:tblHeader w:val="false"/>
        </w:trPr>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Lineare AfA 2,5 % über 40 Jahre</w:t>
            </w:r>
          </w:p>
        </w:tc>
        <w:tc>
          <w:tcPr>
            <w:tcW w:type="dxa" w:w="192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24.043,88 €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7 Abs. 4 S. 1 Nr. 2c EStG — Fertigstellung vor 1925</w:t>
            </w:r>
          </w:p>
        </w:tc>
      </w:tr>
      <w:tr>
        <w:trPr>
          <w:cantSplit/>
          <w:tblHeader w:val="false"/>
        </w:trPr>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Alternative: Restnutzungsdauer 25 Jahre → 4,0 %</w:t>
            </w:r>
          </w:p>
        </w:tc>
        <w:tc>
          <w:tcPr>
            <w:tcW w:type="dxa" w:w="192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38.470,20 €</w:t>
            </w:r>
          </w:p>
        </w:tc>
        <w:tc>
          <w:tcPr>
            <w:tcW w:type="dxa" w:w="385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 7 Abs. 4 S. 2 EStG, mit Sachverständigengutachten</w:t>
            </w:r>
          </w:p>
        </w:tc>
      </w:tr>
    </w:tbl>
    <w:p>
      <w:pPr>
        <w:keepNext/>
        <w:spacing w:after="70" w:before="260"/>
      </w:pPr>
      <w:r>
        <w:rPr>
          <w:rFonts w:ascii="Arial" w:cs="Arial" w:eastAsia="Arial" w:hAnsi="Arial"/>
          <w:b/>
          <w:bCs/>
          <w:i w:val="false"/>
          <w:iCs w:val="false"/>
          <w:caps w:val="false"/>
          <w:color w:val="8A4C14"/>
          <w:spacing w:val="14"/>
          <w:sz w:val="16"/>
          <w:szCs w:val="16"/>
        </w:rPr>
        <w:t xml:space="preserve">Die Denkmal-AfA nach § 7i EStG</w:t>
      </w:r>
    </w:p>
    <w:p>
      <w:pPr>
        <w:keepNext w:val="false"/>
        <w:spacing w:after="140" w:before="0" w:line="260"/>
      </w:pPr>
      <w:r>
        <w:rPr>
          <w:rFonts w:ascii="Arial" w:cs="Arial" w:eastAsia="Arial" w:hAnsi="Arial"/>
          <w:b w:val="false"/>
          <w:bCs w:val="false"/>
          <w:i w:val="false"/>
          <w:iCs w:val="false"/>
          <w:caps w:val="false"/>
          <w:color w:val="1A1C1D"/>
          <w:sz w:val="18"/>
          <w:szCs w:val="18"/>
        </w:rPr>
        <w:t xml:space="preserve">Acht Jahre lang je bis zu 9 %, danach vier Jahre lang je bis zu 7 % — zusammen 100 % der begünstigten Baukosten in zwölf Jahren.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1447"/>
        <w:gridCol w:w="1253"/>
        <w:gridCol w:w="1253"/>
        <w:gridCol w:w="1638"/>
        <w:gridCol w:w="1349"/>
        <w:gridCol w:w="1349"/>
        <w:gridCol w:w="1349"/>
      </w:tblGrid>
      <w:tr>
        <w:trPr>
          <w:cantSplit/>
          <w:tblHeader w:val="false"/>
        </w:trPr>
        <w:tc>
          <w:tcPr>
            <w:tcW w:type="dxa" w:w="144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4"/>
                <w:szCs w:val="14"/>
              </w:rPr>
              <w:t xml:space="preserve">Sanierungs­volumen</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AfA Jahr 1–8</w:t>
            </w:r>
          </w:p>
        </w:tc>
        <w:tc>
          <w:tcPr>
            <w:tcW w:type="dxa" w:w="1253"/>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AfA Jahr 9–12</w:t>
            </w:r>
          </w:p>
        </w:tc>
        <w:tc>
          <w:tcPr>
            <w:tcW w:type="dxa" w:w="1638"/>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Grenzsteuersatz</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Ersparnis J 1–8 p. a.</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Ersparnis J 9–12 p. a.</w:t>
            </w:r>
          </w:p>
        </w:tc>
        <w:tc>
          <w:tcPr>
            <w:tcW w:type="dxa" w:w="1349"/>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4"/>
                <w:szCs w:val="14"/>
              </w:rPr>
              <w:t xml:space="preserve">Ersparnis gesamt</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30 % (eff. 31,65 %)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5.697 €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4.431 €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63.300 €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42 % (eff. 44,31 %)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7.976 €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6.203 €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88.620 €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200.000 €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14.000 €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45 % (eff. 47,48 %)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8.546 €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6.647 €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94.950 €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400.000 €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36.000 €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28.000 €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30 % (eff. 31,65 %)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11.394 €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8.862 €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126.600 €</w:t>
            </w:r>
          </w:p>
        </w:tc>
      </w:tr>
      <w:tr>
        <w:trPr>
          <w:cantSplit/>
          <w:tblHeader w:val="false"/>
        </w:trPr>
        <w:tc>
          <w:tcPr>
            <w:tcW w:type="dxa" w:w="1447"/>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1A1C1D"/>
                <w:sz w:val="14"/>
                <w:szCs w:val="14"/>
              </w:rPr>
              <w:t xml:space="preserve">400.000 €</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36.000 €</w:t>
            </w:r>
          </w:p>
        </w:tc>
        <w:tc>
          <w:tcPr>
            <w:tcW w:type="dxa" w:w="1253"/>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28.000 €</w:t>
            </w:r>
          </w:p>
        </w:tc>
        <w:tc>
          <w:tcPr>
            <w:tcW w:type="dxa" w:w="1638"/>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42 % (eff. 44,31 %)</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15.952 €</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12.407 €</w:t>
            </w:r>
          </w:p>
        </w:tc>
        <w:tc>
          <w:tcPr>
            <w:tcW w:type="dxa" w:w="1349"/>
            <w:tcBorders>
              <w:top w:val="single" w:color="C9C7BF" w:sz="2"/>
              <w:left w:val="single" w:color="C9C7BF" w:sz="2"/>
              <w:bottom w:val="single" w:color="C9C7BF" w:sz="2"/>
              <w:right w:val="single" w:color="C9C7BF" w:sz="2"/>
            </w:tcBorders>
            <w:shd w:fill="F5E9DA"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1A1C1D"/>
                <w:sz w:val="14"/>
                <w:szCs w:val="14"/>
              </w:rPr>
              <w:t xml:space="preserve">177.240 €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400.000 €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36.000 €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28.000 €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45 % (eff. 47,48 %)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17.091 €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13.293 €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189.900 €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600.000 €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54.000 €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42.000 €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30 % (eff. 31,65 %)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17.091 €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13.293 €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189.900 €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600.000 €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54.000 €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42.000 €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42 % (eff. 44,31 %)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23.927 €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18.610 €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265.860 €</w:t>
            </w:r>
          </w:p>
        </w:tc>
      </w:tr>
      <w:tr>
        <w:trPr>
          <w:cantSplit/>
          <w:tblHeader w:val="false"/>
        </w:trPr>
        <w:tc>
          <w:tcPr>
            <w:tcW w:type="dxa" w:w="144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4"/>
                <w:szCs w:val="14"/>
              </w:rPr>
              <w:t xml:space="preserve">600.000 €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54.000 €</w:t>
            </w:r>
          </w:p>
        </w:tc>
        <w:tc>
          <w:tcPr>
            <w:tcW w:type="dxa" w:w="1253"/>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42.000 €</w:t>
            </w:r>
          </w:p>
        </w:tc>
        <w:tc>
          <w:tcPr>
            <w:tcW w:type="dxa" w:w="1638"/>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45 % (eff. 47,48 %)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25.637 €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19.940 €</w:t>
            </w:r>
          </w:p>
        </w:tc>
        <w:tc>
          <w:tcPr>
            <w:tcW w:type="dxa" w:w="1349"/>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4"/>
                <w:szCs w:val="14"/>
              </w:rPr>
              <w:t xml:space="preserve">284.850 €</w:t>
            </w:r>
          </w:p>
        </w:tc>
      </w:tr>
    </w:tbl>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Barwertvergleich · 400.000 € Sanierung, 42 % Grenzsteuersatz</w:t>
      </w:r>
    </w:p>
    <w:p>
      <w:pPr>
        <w:pBdr>
          <w:top w:val="none" w:color="FFFFFF" w:sz="0"/>
          <w:bottom w:val="none" w:color="FFFFFF" w:sz="0"/>
          <w:left w:val="single" w:color="8A4C14"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Über § 7i fließen 15.952 € Steuerersparnis in jedem der ersten acht Jahre und 12.407 € in den Jahren 9 bis 12 — zusammen 177.240 €. Dieselbe Summe linear mit 2,5 % abgeschrieben ergäbe in zwölf Jahren nur 120.000 € Abschreibungsvolumen.</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bCs/>
          <w:i w:val="false"/>
          <w:iCs w:val="false"/>
          <w:caps w:val="false"/>
          <w:color w:val="1A1C1D"/>
          <w:sz w:val="17"/>
          <w:szCs w:val="17"/>
        </w:rPr>
        <w:t xml:space="preserve">Auf 4 % abgezinst ist die §-7i-Variante 52.603 € mehr wert</w:t>
      </w:r>
      <w:r>
        <w:rPr>
          <w:rFonts w:ascii="Arial" w:cs="Arial" w:eastAsia="Arial" w:hAnsi="Arial"/>
          <w:b w:val="false"/>
          <w:bCs w:val="false"/>
          <w:i w:val="false"/>
          <w:iCs w:val="false"/>
          <w:caps w:val="false"/>
          <w:color w:val="1A1C1D"/>
          <w:sz w:val="17"/>
          <w:szCs w:val="17"/>
        </w:rPr>
        <w:t xml:space="preserve"> (140.305 € gegenüber 87.702 €) — rund 13 % des eingesetzten Sanierungskapitals, allein aus dem Steuereffekt.</w:t>
      </w:r>
    </w:p>
    <w:p>
      <w:pPr>
        <w:keepNext/>
        <w:pBdr>
          <w:top w:val="single" w:color="C9C7BF" w:sz="2"/>
          <w:bottom w:val="none" w:color="FFFFFF" w:sz="0"/>
          <w:left w:val="single" w:color="00918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00918A"/>
          <w:spacing w:val="16"/>
          <w:sz w:val="14"/>
          <w:szCs w:val="14"/>
        </w:rPr>
        <w:t xml:space="preserve">Steuerliche Gesamtwirkung Jahr 1 bis 8</w:t>
      </w:r>
    </w:p>
    <w:p>
      <w:pPr>
        <w:pBdr>
          <w:top w:val="none" w:color="FFFFFF" w:sz="0"/>
          <w:bottom w:val="single" w:color="C9C7BF" w:sz="2"/>
          <w:left w:val="single" w:color="00918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Bei einem Sanierungsvolumen von 400.000 € stehen dem Überschuss aus der Vermietung von 42.938 € p. a. Abschreibungen von zusammen 60.044 € gegenüber (24.044 € linear plus 36.000 € nach § 7i). Das steuerliche Ergebnis ist damit -17.106 € p. a. — ein Verlust, der mit anderen Einkünften verrechnet werden kann, während das Objekt gleichzeitig positiven Cashflow liefert.</w:t>
      </w:r>
    </w:p>
    <w:p>
      <w:pPr>
        <w:keepNext/>
        <w:spacing w:after="70" w:before="260"/>
      </w:pPr>
      <w:r>
        <w:rPr>
          <w:rFonts w:ascii="Arial" w:cs="Arial" w:eastAsia="Arial" w:hAnsi="Arial"/>
          <w:b/>
          <w:bCs/>
          <w:i w:val="false"/>
          <w:iCs w:val="false"/>
          <w:caps w:val="false"/>
          <w:color w:val="8A4C14"/>
          <w:spacing w:val="14"/>
          <w:sz w:val="16"/>
          <w:szCs w:val="16"/>
        </w:rPr>
        <w:t xml:space="preserve">Weitere steuerliche Wege und Fördermittel</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 10f EStG</w:t>
      </w:r>
      <w:r>
        <w:rPr>
          <w:rFonts w:ascii="Arial" w:cs="Arial" w:eastAsia="Arial" w:hAnsi="Arial"/>
          <w:b w:val="false"/>
          <w:bCs w:val="false"/>
          <w:i w:val="false"/>
          <w:iCs w:val="false"/>
          <w:caps w:val="false"/>
          <w:color w:val="1A1C1D"/>
          <w:sz w:val="17"/>
          <w:szCs w:val="17"/>
        </w:rPr>
        <w:t xml:space="preserve"> — für Eigennutzer: zehn Jahre je bis zu 9 %, zusammen 90 %, als Sonderausgabe. Nur für ein Gebäude, bei zusammenveranlagten Ehegatten für zwei.</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 11b EStG</w:t>
      </w:r>
      <w:r>
        <w:rPr>
          <w:rFonts w:ascii="Arial" w:cs="Arial" w:eastAsia="Arial" w:hAnsi="Arial"/>
          <w:b w:val="false"/>
          <w:bCs w:val="false"/>
          <w:i w:val="false"/>
          <w:iCs w:val="false"/>
          <w:caps w:val="false"/>
          <w:color w:val="1A1C1D"/>
          <w:sz w:val="17"/>
          <w:szCs w:val="17"/>
        </w:rPr>
        <w:t xml:space="preserve"> — Erhaltungsaufwand am Baudenkmal lässt sich gleichmäßig auf zwei bis fünf Jahre verteilen. Voraussetzung ist wiederum die vorherige Abstimmung.</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Denkmalförderung Sachsen (RL DFö)</w:t>
      </w:r>
      <w:r>
        <w:rPr>
          <w:rFonts w:ascii="Arial" w:cs="Arial" w:eastAsia="Arial" w:hAnsi="Arial"/>
          <w:b w:val="false"/>
          <w:bCs w:val="false"/>
          <w:i w:val="false"/>
          <w:iCs w:val="false"/>
          <w:caps w:val="false"/>
          <w:color w:val="1A1C1D"/>
          <w:sz w:val="17"/>
          <w:szCs w:val="17"/>
        </w:rPr>
        <w:t xml:space="preserve"> — Zuschuss im Landesprogramm regelmäßig 50 %, im Sonderprogramm 75 %, in Ausnahmefällen bis 90 %. Antragsfrist beim Landratsamt Nordsachsen ist der 30. Oktober für das Folgejahr. Achtung: Zuschüsse mindern die AfA-Bemessungsgrundlage.</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KfW 261</w:t>
      </w:r>
      <w:r>
        <w:rPr>
          <w:rFonts w:ascii="Arial" w:cs="Arial" w:eastAsia="Arial" w:hAnsi="Arial"/>
          <w:b w:val="false"/>
          <w:bCs w:val="false"/>
          <w:i w:val="false"/>
          <w:iCs w:val="false"/>
          <w:caps w:val="false"/>
          <w:color w:val="1A1C1D"/>
          <w:sz w:val="17"/>
          <w:szCs w:val="17"/>
        </w:rPr>
        <w:t xml:space="preserve"> — bis 150.000 € Kredit je Wohneinheit; der Standard „Effizienzhaus Denkmal“ existiert gerade deshalb, weil Außendämmung und Fenstertausch bei Baudenkmalen denkmalrechtlich ausscheiden. Konditionen zum 21.07.2026 geändert, vor Zusage prüfen.</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 7h EStG</w:t>
      </w:r>
      <w:r>
        <w:rPr>
          <w:rFonts w:ascii="Arial" w:cs="Arial" w:eastAsia="Arial" w:hAnsi="Arial"/>
          <w:b w:val="false"/>
          <w:bCs w:val="false"/>
          <w:i w:val="false"/>
          <w:iCs w:val="false"/>
          <w:caps w:val="false"/>
          <w:color w:val="1A1C1D"/>
          <w:sz w:val="17"/>
          <w:szCs w:val="17"/>
        </w:rPr>
        <w:t xml:space="preserve"> (Sanierungsgebiet) wird hier nicht in Anspruch genommen: für Delitzsch ist zum 01.01.2026 kein förmlich festgelegtes städtebauliches Maßnahmegebiet in BORIS Sachsen hinterlegt. Das „Denkmalschutzgebiet Altstadt“ trägt in der Erfassung des Landesamts den Zusatz „(Vorschlag)“ und ist damit keine rechtsverbindliche Festsetzung.</w:t>
      </w:r>
    </w:p>
    <w:p>
      <w:pPr>
        <w:keepNext w:val="false"/>
        <w:spacing w:after="140" w:before="0" w:line="220"/>
      </w:pPr>
      <w:r>
        <w:rPr>
          <w:rFonts w:ascii="Arial" w:cs="Arial" w:eastAsia="Arial" w:hAnsi="Arial"/>
          <w:b w:val="false"/>
          <w:bCs w:val="false"/>
          <w:i/>
          <w:iCs/>
          <w:caps w:val="false"/>
          <w:color w:val="63676A"/>
          <w:sz w:val="15"/>
          <w:szCs w:val="15"/>
        </w:rPr>
        <w:t xml:space="preserve">Diese Darstellung ersetzt keine Steuerberatung. AfA-Gestaltung und Kaufpreisaufteilung sollten vor Vertragsabschluss mit einem Steuerberater abgestimmt werden.</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10 · Standort Delitzsch</w:t>
      </w:r>
    </w:p>
    <w:p>
      <w:pPr>
        <w:keepNext w:val="false"/>
        <w:spacing w:after="200" w:before="0" w:line="260"/>
      </w:pPr>
      <w:r>
        <w:rPr>
          <w:rFonts w:ascii="Arial" w:cs="Arial" w:eastAsia="Arial" w:hAnsi="Arial"/>
          <w:b w:val="false"/>
          <w:bCs w:val="false"/>
          <w:i w:val="false"/>
          <w:iCs w:val="false"/>
          <w:caps w:val="false"/>
          <w:color w:val="1A1C1D"/>
          <w:sz w:val="18"/>
          <w:szCs w:val="18"/>
        </w:rPr>
        <w:t xml:space="preserve">Große Kreisstadt im Landkreis Nordsachsen, rund 25 Kilometer nördlich von Leipzig, mit eigener Altstadt, Barockschloss und erhaltener Stadtbefestigung. Kein Wachstumsmarkt, aber ein stabiler — und mit direkter S-Bahn-Anbindung in den Leipziger City-Tunnel.</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4241"/>
        <w:gridCol w:w="1735"/>
        <w:gridCol w:w="3662"/>
      </w:tblGrid>
      <w:tr>
        <w:trPr>
          <w:cantSplit/>
          <w:tblHeader w:val="false"/>
        </w:trPr>
        <w:tc>
          <w:tcPr>
            <w:tcW w:type="dxa" w:w="4241"/>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Kennzahl</w:t>
            </w:r>
          </w:p>
        </w:tc>
        <w:tc>
          <w:tcPr>
            <w:tcW w:type="dxa" w:w="173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Wert</w:t>
            </w:r>
          </w:p>
        </w:tc>
        <w:tc>
          <w:tcPr>
            <w:tcW w:type="dxa" w:w="3662"/>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Quelle / Stand</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Einwohner</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25.750</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Stat. Landesamt Sachsen, 31.12.2025</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Fläche Stadtgebiet</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85,92 km²</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11 Ortsteile</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Wohnungen gesamt</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14.876</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Zensus 2022</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Leerstandsquote Wohnungen</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8,87 %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Zensus 2022; Sachsen 8,8 %</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Eigentümerquote</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34,85 %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Zensus 2022 — hoher Mieteranteil</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Vorkriegsbestand am Wohnungsbestand</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33,3 %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Zensus 2022 — Altbau ist hier die Normalität</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Arbeitslosenquote LK Nordsachsen</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7,1 %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Bundesagentur für Arbeit, 12/2025</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Kaufkraftkennziffer</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90</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Deutschland = 100</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Einzelhandels-Zentralität</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117 %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Kaufkraftzufluss von außen</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Bodenrichtwert Altstadt / Breite Straße</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119 €/m²</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BORIS Sachsen 01.01.2026, +11,2 % ggü. 2024</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Bodenrichtwert Bismarckstraße</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122 €/m²</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BORIS Sachsen 01.01.2026, +10,9 % ggü. 2024</w:t>
            </w:r>
          </w:p>
        </w:tc>
      </w:tr>
      <w:tr>
        <w:trPr>
          <w:cantSplit/>
          <w:tblHeader w:val="false"/>
        </w:trPr>
        <w:tc>
          <w:tcPr>
            <w:tcW w:type="dxa" w:w="4241"/>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Grunderwerbsteuer Sachsen</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5,5 %</w:t>
            </w:r>
          </w:p>
        </w:tc>
        <w:tc>
          <w:tcPr>
            <w:tcW w:type="dxa" w:w="3662"/>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seit 01.01.2023</w:t>
            </w:r>
          </w:p>
        </w:tc>
      </w:tr>
    </w:tbl>
    <w:p>
      <w:pPr>
        <w:keepNext/>
        <w:spacing w:after="70" w:before="260"/>
      </w:pPr>
      <w:r>
        <w:rPr>
          <w:rFonts w:ascii="Arial" w:cs="Arial" w:eastAsia="Arial" w:hAnsi="Arial"/>
          <w:b/>
          <w:bCs/>
          <w:i w:val="false"/>
          <w:iCs w:val="false"/>
          <w:caps w:val="false"/>
          <w:color w:val="8A4C14"/>
          <w:spacing w:val="14"/>
          <w:sz w:val="16"/>
          <w:szCs w:val="16"/>
        </w:rPr>
        <w:t xml:space="preserve">Verkehr</w:t>
      </w:r>
    </w:p>
    <w:p>
      <w:pPr>
        <w:keepNext w:val="false"/>
        <w:spacing w:after="160" w:before="0" w:line="260"/>
      </w:pPr>
      <w:r>
        <w:rPr>
          <w:rFonts w:ascii="Arial" w:cs="Arial" w:eastAsia="Arial" w:hAnsi="Arial"/>
          <w:b w:val="false"/>
          <w:bCs w:val="false"/>
          <w:i w:val="false"/>
          <w:iCs w:val="false"/>
          <w:caps w:val="false"/>
          <w:color w:val="1A1C1D"/>
          <w:sz w:val="18"/>
          <w:szCs w:val="18"/>
        </w:rPr>
        <w:t xml:space="preserve">S-Bahn S2 ab Delitzsch unterer Bahnhof im Halbstundentakt direkt in den Leipziger City-Tunnel (Hauptbahnhof tief, Markt, Wilhelm-Leuschner-Platz), Fahrzeit rund 20 bis 25 Minuten. S9 nach Halle über den oberen Bahnhof. Die Bundesstraßen B 184 und B 183a bilden eine geschlossene Stadtumfahrung; A 9, A 14 und A 38 liegen in der Nähe. Flughafen Leipzig/Halle 15 km, 24-Stunden-Betrieb.</w:t>
      </w:r>
    </w:p>
    <w:p>
      <w:pPr>
        <w:keepNext/>
        <w:spacing w:after="70" w:before="260"/>
      </w:pPr>
      <w:r>
        <w:rPr>
          <w:rFonts w:ascii="Arial" w:cs="Arial" w:eastAsia="Arial" w:hAnsi="Arial"/>
          <w:b/>
          <w:bCs/>
          <w:i w:val="false"/>
          <w:iCs w:val="false"/>
          <w:caps w:val="false"/>
          <w:color w:val="8A4C14"/>
          <w:spacing w:val="14"/>
          <w:sz w:val="16"/>
          <w:szCs w:val="16"/>
        </w:rPr>
        <w:t xml:space="preserve">Infrastruktur</w:t>
      </w:r>
    </w:p>
    <w:p>
      <w:pPr>
        <w:keepNext w:val="false"/>
        <w:spacing w:after="160" w:before="0" w:line="260"/>
      </w:pPr>
      <w:r>
        <w:rPr>
          <w:rFonts w:ascii="Arial" w:cs="Arial" w:eastAsia="Arial" w:hAnsi="Arial"/>
          <w:b w:val="false"/>
          <w:bCs w:val="false"/>
          <w:i w:val="false"/>
          <w:iCs w:val="false"/>
          <w:caps w:val="false"/>
          <w:color w:val="1A1C1D"/>
          <w:sz w:val="18"/>
          <w:szCs w:val="18"/>
        </w:rPr>
        <w:t xml:space="preserve">Vier Grundschulen, Oberschule, Gymnasium, zwei Förderschulen, berufliche Bildung, Volkshochschule und Musikschule. Mindestens acht Kitas. Kreiskrankenhaus Delitzsch mit 135 Betten. Mit der Unteroffizierschule des Heeres ist ein Bundeswehrstandort in der Stadt — ein struktureller Nachfragetreiber für Mietwohnungen.</w:t>
      </w:r>
    </w:p>
    <w:p>
      <w:pPr>
        <w:keepNext/>
        <w:spacing w:after="70" w:before="260"/>
      </w:pPr>
      <w:r>
        <w:rPr>
          <w:rFonts w:ascii="Arial" w:cs="Arial" w:eastAsia="Arial" w:hAnsi="Arial"/>
          <w:b/>
          <w:bCs/>
          <w:i w:val="false"/>
          <w:iCs w:val="false"/>
          <w:caps w:val="false"/>
          <w:color w:val="8A4C14"/>
          <w:spacing w:val="14"/>
          <w:sz w:val="16"/>
          <w:szCs w:val="16"/>
        </w:rPr>
        <w:t xml:space="preserve">Altstadt</w:t>
      </w:r>
    </w:p>
    <w:p>
      <w:pPr>
        <w:keepNext w:val="false"/>
        <w:spacing w:after="160" w:before="0" w:line="260"/>
      </w:pPr>
      <w:r>
        <w:rPr>
          <w:rFonts w:ascii="Arial" w:cs="Arial" w:eastAsia="Arial" w:hAnsi="Arial"/>
          <w:b w:val="false"/>
          <w:bCs w:val="false"/>
          <w:i w:val="false"/>
          <w:iCs w:val="false"/>
          <w:caps w:val="false"/>
          <w:color w:val="1A1C1D"/>
          <w:sz w:val="18"/>
          <w:szCs w:val="18"/>
        </w:rPr>
        <w:t xml:space="preserve">Die Altstadt zeigt bis heute die Siedlungsstruktur des 15. Jahrhunderts. Barockschloss von 1689 mit Museum und Lustgarten, rund 1,4 km erhaltene Stadtmauer mit Breitem Turm und Hallescher Turm, Promenadenring auf den ehemaligen Festungswerken. Die Breite Straße ist über weite Strecken eine geschlossene Denkmalzeile — die Nummern 3, 5, 13, 14, 15, 18, 20, 22, 24, 25, 26, 30 und 34 stehen alle in der Denkmalliste.</w:t>
      </w:r>
    </w:p>
    <w:p>
      <w:pPr>
        <w:keepNext/>
        <w:pBdr>
          <w:top w:val="single" w:color="C9C7BF" w:sz="2"/>
          <w:bottom w:val="none" w:color="FFFFFF" w:sz="0"/>
          <w:left w:val="single" w:color="A8382A"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A8382A"/>
          <w:spacing w:val="16"/>
          <w:sz w:val="14"/>
          <w:szCs w:val="14"/>
        </w:rPr>
        <w:t xml:space="preserve">Was ehrlich dazugehört</w:t>
      </w:r>
    </w:p>
    <w:p>
      <w:pPr>
        <w:pBdr>
          <w:top w:val="none" w:color="FFFFFF" w:sz="0"/>
          <w:bottom w:val="none" w:color="FFFFFF" w:sz="0"/>
          <w:left w:val="single" w:color="A8382A"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Delitzsch ist kein Wachstumsmarkt. Die Bevölkerung ist seit 2011 stabil, die Prognose des empirica-Gutachtens für das Sächsische Innenministerium liegt bei −0,4 % pro Jahr bis 2030. Der Wohnungsleerstand von 8,87 % ist zu 63 % struktureller Natur, also länger als zwölf Monate bestehend.</w:t>
      </w:r>
    </w:p>
    <w:p>
      <w:pPr>
        <w:pBdr>
          <w:top w:val="none" w:color="FFFFFF" w:sz="0"/>
          <w:bottom w:val="single" w:color="C9C7BF" w:sz="2"/>
          <w:left w:val="single" w:color="A8382A"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Der Gewerbeleerstand in der Innenstadt ist ein stadtweites Thema, kein Einzelfall dieses Portfolios — die Stadt betreibt eine eigene Leerstandsbörse und lässt 2026 ihr Einzelhandelskonzept fortschreiben. Und der Markt ist dünn: im gesamten Landkreis Nordsachsen wurden 2024 nur 29 Wohn- und Geschäftshäuser gehandelt. Eine Vermarktungsdauer von mehreren Monaten ist einzuplanen.</w:t>
      </w:r>
    </w:p>
    <w:p>
      <w:pPr>
        <w:pStyle w:val="Heading1"/>
        <w:pageBreakBefore/>
        <w:pBdr>
          <w:bottom w:val="single" w:color="8A4C14" w:sz="10" w:space="6"/>
        </w:pBdr>
        <w:spacing w:after="60" w:before="420"/>
      </w:pPr>
      <w:r>
        <w:rPr>
          <w:rFonts w:ascii="Arial" w:cs="Arial" w:eastAsia="Arial" w:hAnsi="Arial"/>
          <w:b/>
          <w:bCs/>
          <w:i w:val="false"/>
          <w:iCs w:val="false"/>
          <w:caps w:val="false"/>
          <w:color w:val="8A4C14"/>
          <w:sz w:val="30"/>
          <w:szCs w:val="30"/>
        </w:rPr>
        <w:t xml:space="preserve">11 · Unterlagen, Annahmen und offene Punkte</w:t>
      </w:r>
    </w:p>
    <w:p>
      <w:pPr>
        <w:keepNext/>
        <w:spacing w:after="70" w:before="260"/>
      </w:pPr>
      <w:r>
        <w:rPr>
          <w:rFonts w:ascii="Arial" w:cs="Arial" w:eastAsia="Arial" w:hAnsi="Arial"/>
          <w:b/>
          <w:bCs/>
          <w:i w:val="false"/>
          <w:iCs w:val="false"/>
          <w:caps w:val="false"/>
          <w:color w:val="8A4C14"/>
          <w:spacing w:val="14"/>
          <w:sz w:val="16"/>
          <w:szCs w:val="16"/>
        </w:rPr>
        <w:t xml:space="preserve">Vorhandene Unterlagen</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Wohn- und Nutzflächenberechnungen des Vermessungsbüros André Biedermann, Zwochau — Breite Straße 18 und 20 vom 09.04.2022, Bismarckstraße 10 vom 20.06.2022, raumweise aufgeschlüsselt.</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Breite Straße 18/20: Grundrisse Keller, Erdgeschoss, 1., 2., 3. Obergeschoss und Dachgeschoss; Ansichten Nord und Süd mit Schnitt A-A; Schnitte B-B und C-C. Je als PDF und DWG.</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Bismarckstraße 10: Grundrisse Keller, Erdgeschoss, 1., 2. Obergeschoss und Dachgeschoss sowie Ansichten. Je als PDF und DWG.</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Fotodokumentation der Außenansichten und Innenaufnahmen, unter anderem der komplett modernisierten Wohnung Breite Straße 20, 2. Obergeschoss links.</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Mieterübersicht mit Historie 2022, 2025 und Stand 01/2026 inklusive Mieterhöhungsplanung.</w:t>
      </w:r>
    </w:p>
    <w:p>
      <w:pPr>
        <w:keepNext/>
        <w:spacing w:after="70" w:before="260"/>
      </w:pPr>
      <w:r>
        <w:rPr>
          <w:rFonts w:ascii="Arial" w:cs="Arial" w:eastAsia="Arial" w:hAnsi="Arial"/>
          <w:b/>
          <w:bCs/>
          <w:i w:val="false"/>
          <w:iCs w:val="false"/>
          <w:caps w:val="false"/>
          <w:color w:val="8A4C14"/>
          <w:spacing w:val="14"/>
          <w:sz w:val="16"/>
          <w:szCs w:val="16"/>
        </w:rPr>
        <w:t xml:space="preserve">Getroffene Annahmen</w:t>
      </w:r>
    </w:p>
    <w:tbl>
      <w:tblPr>
        <w:tblW w:type="dxa" w:w="9638"/>
        <w:tblBorders>
          <w:top w:val="single" w:color="C9C7BF" w:sz="2"/>
          <w:left w:val="single" w:color="C9C7BF" w:sz="2"/>
          <w:bottom w:val="single" w:color="C9C7BF" w:sz="2"/>
          <w:right w:val="single" w:color="C9C7BF" w:sz="2"/>
          <w:insideH w:val="single" w:color="C9C7BF" w:sz="2"/>
          <w:insideV w:val="single" w:color="C9C7BF" w:sz="2"/>
        </w:tblBorders>
      </w:tblPr>
      <w:tblGrid>
        <w:gridCol w:w="4626"/>
        <w:gridCol w:w="1735"/>
        <w:gridCol w:w="3277"/>
      </w:tblGrid>
      <w:tr>
        <w:trPr>
          <w:cantSplit/>
          <w:tblHeader w:val="false"/>
        </w:trPr>
        <w:tc>
          <w:tcPr>
            <w:tcW w:type="dxa" w:w="4626"/>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Annahme</w:t>
            </w:r>
          </w:p>
        </w:tc>
        <w:tc>
          <w:tcPr>
            <w:tcW w:type="dxa" w:w="1735"/>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right"/>
            </w:pPr>
            <w:r>
              <w:rPr>
                <w:rFonts w:ascii="Arial" w:cs="Arial" w:eastAsia="Arial" w:hAnsi="Arial"/>
                <w:b/>
                <w:bCs/>
                <w:i w:val="false"/>
                <w:iCs w:val="false"/>
                <w:caps w:val="false"/>
                <w:color w:val="FFFFFF"/>
                <w:sz w:val="15"/>
                <w:szCs w:val="15"/>
              </w:rPr>
              <w:t xml:space="preserve">Wert</w:t>
            </w:r>
          </w:p>
        </w:tc>
        <w:tc>
          <w:tcPr>
            <w:tcW w:type="dxa" w:w="3277"/>
            <w:tcBorders>
              <w:top w:val="single" w:color="C9C7BF" w:sz="2"/>
              <w:left w:val="single" w:color="C9C7BF" w:sz="2"/>
              <w:bottom w:val="single" w:color="C9C7BF" w:sz="2"/>
              <w:right w:val="single" w:color="C9C7BF" w:sz="2"/>
            </w:tcBorders>
            <w:shd w:fill="8A4C14" w:color="auto" w:val="clear"/>
            <w:tcMar>
              <w:top w:type="dxa" w:w="52"/>
              <w:left w:type="dxa" w:w="85"/>
              <w:bottom w:type="dxa" w:w="52"/>
              <w:right w:type="dxa" w:w="85"/>
            </w:tcMar>
            <w:vAlign w:val="center"/>
          </w:tcPr>
          <w:p>
            <w:pPr>
              <w:spacing w:after="0" w:before="0" w:line="210"/>
              <w:jc w:val="left"/>
            </w:pPr>
            <w:r>
              <w:rPr>
                <w:rFonts w:ascii="Arial" w:cs="Arial" w:eastAsia="Arial" w:hAnsi="Arial"/>
                <w:b/>
                <w:bCs/>
                <w:i w:val="false"/>
                <w:iCs w:val="false"/>
                <w:caps w:val="false"/>
                <w:color w:val="FFFFFF"/>
                <w:sz w:val="15"/>
                <w:szCs w:val="15"/>
              </w:rPr>
              <w:t xml:space="preserve">Wirkung</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Bewirtschaftungskosten, nicht umlagefähig</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27 %</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Reinertrag, Ertragswert, Cashflow</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Mietsteigerung dynamische Hochrechnung</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1,5 % p. a.</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nur Abschnitt 6</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Potenzialmiete Kleinwohnungen</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8,00 €/m²</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Potenzialszenario</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Potenzialmiete Laden Erdgeschoss</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8,00 €/m²</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Potenzialszenario</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Potenzialmiete Gewerbe Neben-/Obergeschoss</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5,00 €/m²</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Potenzialszenario</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Grundstücksfläche Breite Straße 18 + 20 (geschätzt)</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480 m²</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Bodenwert und AfA-Basis in Abschnitt 9</w:t>
            </w:r>
          </w:p>
        </w:tc>
      </w:tr>
      <w:tr>
        <w:trPr>
          <w:cantSplit/>
          <w:tblHeader w:val="false"/>
        </w:trPr>
        <w:tc>
          <w:tcPr>
            <w:tcW w:type="dxa" w:w="4626"/>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Fremdkapitalquote Finanzierungsbeispiel</w:t>
            </w:r>
          </w:p>
        </w:tc>
        <w:tc>
          <w:tcPr>
            <w:tcW w:type="dxa" w:w="1735"/>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right"/>
            </w:pPr>
            <w:r>
              <w:rPr>
                <w:rFonts w:ascii="Arial" w:cs="Arial" w:eastAsia="Arial" w:hAnsi="Arial"/>
                <w:b w:val="false"/>
                <w:bCs w:val="false"/>
                <w:i w:val="false"/>
                <w:iCs w:val="false"/>
                <w:caps w:val="false"/>
                <w:color w:val="1A1C1D"/>
                <w:sz w:val="15"/>
                <w:szCs w:val="15"/>
              </w:rPr>
              <w:t xml:space="preserve">80 %</w:t>
            </w:r>
          </w:p>
        </w:tc>
        <w:tc>
          <w:tcPr>
            <w:tcW w:type="dxa" w:w="3277"/>
            <w:tcBorders>
              <w:top w:val="single" w:color="C9C7BF" w:sz="2"/>
              <w:left w:val="single" w:color="C9C7BF" w:sz="2"/>
              <w:bottom w:val="single" w:color="C9C7BF" w:sz="2"/>
              <w:right w:val="single" w:color="C9C7BF" w:sz="2"/>
            </w:tcBorders>
            <w:tcMar>
              <w:top w:type="dxa" w:w="52"/>
              <w:left w:type="dxa" w:w="85"/>
              <w:bottom w:type="dxa" w:w="52"/>
              <w:right w:type="dxa" w:w="85"/>
            </w:tcMar>
            <w:vAlign w:val="center"/>
          </w:tcPr>
          <w:p>
            <w:pPr>
              <w:spacing w:after="0" w:before="0" w:line="210"/>
              <w:jc w:val="left"/>
            </w:pPr>
            <w:r>
              <w:rPr>
                <w:rFonts w:ascii="Arial" w:cs="Arial" w:eastAsia="Arial" w:hAnsi="Arial"/>
                <w:b w:val="false"/>
                <w:bCs w:val="false"/>
                <w:i w:val="false"/>
                <w:iCs w:val="false"/>
                <w:caps w:val="false"/>
                <w:color w:val="1A1C1D"/>
                <w:sz w:val="15"/>
                <w:szCs w:val="15"/>
              </w:rPr>
              <w:t xml:space="preserve">nur Abschnitt 7, Sicht 2</w:t>
            </w:r>
          </w:p>
        </w:tc>
      </w:tr>
    </w:tbl>
    <w:p>
      <w:pPr>
        <w:keepNext/>
        <w:spacing w:after="70" w:before="260"/>
      </w:pPr>
      <w:r>
        <w:rPr>
          <w:rFonts w:ascii="Arial" w:cs="Arial" w:eastAsia="Arial" w:hAnsi="Arial"/>
          <w:b/>
          <w:bCs/>
          <w:i w:val="false"/>
          <w:iCs w:val="false"/>
          <w:caps w:val="false"/>
          <w:color w:val="8A4C14"/>
          <w:spacing w:val="14"/>
          <w:sz w:val="16"/>
          <w:szCs w:val="16"/>
        </w:rPr>
        <w:t xml:space="preserve">Vor der Vermarktung zu beschaffen</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Grundbuchauszüge und Flurstücksdaten. </w:t>
      </w:r>
      <w:r>
        <w:rPr>
          <w:rFonts w:ascii="Arial" w:cs="Arial" w:eastAsia="Arial" w:hAnsi="Arial"/>
          <w:b w:val="false"/>
          <w:bCs w:val="false"/>
          <w:i w:val="false"/>
          <w:iCs w:val="false"/>
          <w:caps w:val="false"/>
          <w:color w:val="1A1C1D"/>
          <w:sz w:val="17"/>
          <w:szCs w:val="17"/>
        </w:rPr>
        <w:t xml:space="preserve">Die Grundstücksflächen fehlen in den Unterlagen vollständig. Sie werden für den Bodenwert, die Kaufpreisaufteilung und jede seriöse AfA-Rechnung gebraucht.</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Energieausweise </w:t>
      </w:r>
      <w:r>
        <w:rPr>
          <w:rFonts w:ascii="Arial" w:cs="Arial" w:eastAsia="Arial" w:hAnsi="Arial"/>
          <w:b w:val="false"/>
          <w:bCs w:val="false"/>
          <w:i w:val="false"/>
          <w:iCs w:val="false"/>
          <w:caps w:val="false"/>
          <w:color w:val="1A1C1D"/>
          <w:sz w:val="17"/>
          <w:szCs w:val="17"/>
        </w:rPr>
        <w:t xml:space="preserve">für alle drei Objekte. Nach § 80 GEG sind sie Interessenten spätestens bei der Besichtigung vorzulegen; das Fehlen ist bußgeldbewehrt.</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Betriebskostenabrechnungen </w:t>
      </w:r>
      <w:r>
        <w:rPr>
          <w:rFonts w:ascii="Arial" w:cs="Arial" w:eastAsia="Arial" w:hAnsi="Arial"/>
          <w:b w:val="false"/>
          <w:bCs w:val="false"/>
          <w:i w:val="false"/>
          <w:iCs w:val="false"/>
          <w:caps w:val="false"/>
          <w:color w:val="1A1C1D"/>
          <w:sz w:val="17"/>
          <w:szCs w:val="17"/>
        </w:rPr>
        <w:t xml:space="preserve">der letzten zwei Jahre — Käufer und Banken fragen danach, und sie belegen die hier angesetzte Bewirtschaftungskostenquote.</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Mietverträge im Original </w:t>
      </w:r>
      <w:r>
        <w:rPr>
          <w:rFonts w:ascii="Arial" w:cs="Arial" w:eastAsia="Arial" w:hAnsi="Arial"/>
          <w:b w:val="false"/>
          <w:bCs w:val="false"/>
          <w:i w:val="false"/>
          <w:iCs w:val="false"/>
          <w:caps w:val="false"/>
          <w:color w:val="1A1C1D"/>
          <w:sz w:val="17"/>
          <w:szCs w:val="17"/>
        </w:rPr>
        <w:t xml:space="preserve">nebst Staffel- und Indexklauseln, Kautionsnachweisen und Mieterhöhungsschreiben.</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Zustandsdokumentation </w:t>
      </w:r>
      <w:r>
        <w:rPr>
          <w:rFonts w:ascii="Arial" w:cs="Arial" w:eastAsia="Arial" w:hAnsi="Arial"/>
          <w:b w:val="false"/>
          <w:bCs w:val="false"/>
          <w:i w:val="false"/>
          <w:iCs w:val="false"/>
          <w:caps w:val="false"/>
          <w:color w:val="1A1C1D"/>
          <w:sz w:val="17"/>
          <w:szCs w:val="17"/>
        </w:rPr>
        <w:t xml:space="preserve">zu Dach, Heizung, Elektrik und Steigleitungen sowie eine Einschätzung des Instandhaltungsrückstaus.</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Denkmalstatus bestätigen lassen. </w:t>
      </w:r>
      <w:r>
        <w:rPr>
          <w:rFonts w:ascii="Arial" w:cs="Arial" w:eastAsia="Arial" w:hAnsi="Arial"/>
          <w:b w:val="false"/>
          <w:bCs w:val="false"/>
          <w:i w:val="false"/>
          <w:iCs w:val="false"/>
          <w:caps w:val="false"/>
          <w:color w:val="1A1C1D"/>
          <w:sz w:val="17"/>
          <w:szCs w:val="17"/>
        </w:rPr>
        <w:t xml:space="preserve">Die hier verwendeten Einträge stammen aus der öffentlich zugänglichen Wiedergabe der sächsischen Denkmalliste mit Stand April 2020. Vor Drucklegung gegen die offizielle Denkmalliste Sachsen und die untere Denkmalschutzbehörde beim Landratsamt Nordsachsen abgleichen.</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Sanierungsgebietsstatus verbindlich abfragen </w:t>
      </w:r>
      <w:r>
        <w:rPr>
          <w:rFonts w:ascii="Arial" w:cs="Arial" w:eastAsia="Arial" w:hAnsi="Arial"/>
          <w:b w:val="false"/>
          <w:bCs w:val="false"/>
          <w:i w:val="false"/>
          <w:iCs w:val="false"/>
          <w:caps w:val="false"/>
          <w:color w:val="1A1C1D"/>
          <w:sz w:val="17"/>
          <w:szCs w:val="17"/>
        </w:rPr>
        <w:t xml:space="preserve">beim Bauamt Delitzsch. Sollte doch ein förmlich festgelegtes Sanierungsgebiet nach § 142 BauGB bestehen, käme zusätzlich § 7h EStG in Betracht.</w:t>
      </w:r>
    </w:p>
    <w:p>
      <w:pPr>
        <w:pStyle w:val="ListParagraph"/>
        <w:numPr>
          <w:ilvl w:val="0"/>
          <w:numId w:val="2"/>
        </w:numPr>
        <w:spacing w:after="90" w:before="0" w:line="250"/>
      </w:pPr>
      <w:r>
        <w:rPr>
          <w:rFonts w:ascii="Arial" w:cs="Arial" w:eastAsia="Arial" w:hAnsi="Arial"/>
          <w:b/>
          <w:bCs/>
          <w:i w:val="false"/>
          <w:iCs w:val="false"/>
          <w:caps w:val="false"/>
          <w:color w:val="1A1C1D"/>
          <w:sz w:val="17"/>
          <w:szCs w:val="17"/>
        </w:rPr>
        <w:t xml:space="preserve">Baujahr Bismarckstraße 10 klären. </w:t>
      </w:r>
      <w:r>
        <w:rPr>
          <w:rFonts w:ascii="Arial" w:cs="Arial" w:eastAsia="Arial" w:hAnsi="Arial"/>
          <w:b w:val="false"/>
          <w:bCs w:val="false"/>
          <w:i w:val="false"/>
          <w:iCs w:val="false"/>
          <w:caps w:val="false"/>
          <w:color w:val="1A1C1D"/>
          <w:sz w:val="17"/>
          <w:szCs w:val="17"/>
        </w:rPr>
        <w:t xml:space="preserve">Die Denkmalliste nennt 1907, die eigenen Unterlagen 1910. Steuerlich folgenlos — beide liegen vor 1925 —, im Exposé aber konsistent zu halten.</w:t>
      </w:r>
    </w:p>
    <w:p>
      <w:pPr>
        <w:keepNext/>
        <w:pBdr>
          <w:top w:val="single" w:color="C9C7BF" w:sz="2"/>
          <w:bottom w:val="none" w:color="FFFFFF" w:sz="0"/>
          <w:left w:val="single" w:color="8A4C14" w:sz="18" w:space="10"/>
          <w:right w:val="single" w:color="C9C7BF" w:sz="2"/>
        </w:pBdr>
        <w:shd w:fill="FAFAF8" w:color="auto" w:val="clear"/>
        <w:spacing w:after="0" w:before="220" w:line="220"/>
        <w:ind w:left="60" w:right="60"/>
      </w:pPr>
      <w:r>
        <w:rPr>
          <w:rFonts w:ascii="Arial" w:cs="Arial" w:eastAsia="Arial" w:hAnsi="Arial"/>
          <w:b/>
          <w:bCs/>
          <w:i w:val="false"/>
          <w:iCs w:val="false"/>
          <w:caps w:val="false"/>
          <w:color w:val="8A4C14"/>
          <w:spacing w:val="16"/>
          <w:sz w:val="14"/>
          <w:szCs w:val="14"/>
        </w:rPr>
        <w:t xml:space="preserve">Abgrenzung</w:t>
      </w:r>
    </w:p>
    <w:p>
      <w:pPr>
        <w:pBdr>
          <w:top w:val="none" w:color="FFFFFF" w:sz="0"/>
          <w:bottom w:val="none" w:color="FFFFFF" w:sz="0"/>
          <w:left w:val="single" w:color="8A4C14" w:sz="18" w:space="10"/>
          <w:right w:val="single" w:color="C9C7BF" w:sz="2"/>
        </w:pBdr>
        <w:shd w:fill="FAFAF8" w:color="auto" w:val="clear"/>
        <w:spacing w:after="60" w:before="60" w:line="250"/>
        <w:ind w:left="60" w:right="60"/>
      </w:pPr>
      <w:r>
        <w:rPr>
          <w:rFonts w:ascii="Arial" w:cs="Arial" w:eastAsia="Arial" w:hAnsi="Arial"/>
          <w:b w:val="false"/>
          <w:bCs w:val="false"/>
          <w:i w:val="false"/>
          <w:iCs w:val="false"/>
          <w:caps w:val="false"/>
          <w:color w:val="1A1C1D"/>
          <w:sz w:val="17"/>
          <w:szCs w:val="17"/>
        </w:rPr>
        <w:t xml:space="preserve">In den Verwaltungsunterlagen tauchen zwei weitere Objekte auf, die nicht Teil dieses Exposés sind: Bismarckstraße 37 (Blatt „Übersicht 2022“) und Frauenschulstraße 17 in 83714 Miesbach (Blatt „Aufstellung Bank“). Für beide liegen keine Flächenaufmaße, Pläne oder Fotos vor.</w:t>
      </w:r>
    </w:p>
    <w:p>
      <w:pPr>
        <w:pBdr>
          <w:top w:val="none" w:color="FFFFFF" w:sz="0"/>
          <w:bottom w:val="single" w:color="C9C7BF" w:sz="2"/>
          <w:left w:val="single" w:color="8A4C14" w:sz="18" w:space="10"/>
          <w:right w:val="single" w:color="C9C7BF" w:sz="2"/>
        </w:pBdr>
        <w:shd w:fill="FAFAF8" w:color="auto" w:val="clear"/>
        <w:spacing w:after="220" w:before="60" w:line="250"/>
        <w:ind w:left="60" w:right="60"/>
      </w:pPr>
      <w:r>
        <w:rPr>
          <w:rFonts w:ascii="Arial" w:cs="Arial" w:eastAsia="Arial" w:hAnsi="Arial"/>
          <w:b w:val="false"/>
          <w:bCs w:val="false"/>
          <w:i w:val="false"/>
          <w:iCs w:val="false"/>
          <w:caps w:val="false"/>
          <w:color w:val="1A1C1D"/>
          <w:sz w:val="17"/>
          <w:szCs w:val="17"/>
        </w:rPr>
        <w:t xml:space="preserve">Einzelne Zellen der Ausgangstabelle sind in sich widersprüchlich — etwa ein Gesamtbetrag von 1.582,70 € bei der Breiten Straße 18 im Erdgeschoss, wo Miete und Betriebskosten 1.330 € ergeben, sowie abweichende Überweisungsbeträge. Diese Fälle wurden durchgängig zugunsten des niedrigeren, belegbaren Wertes aufgelöst.</w:t>
      </w:r>
    </w:p>
    <w:p>
      <w:pPr>
        <w:keepNext/>
        <w:spacing w:after="70" w:before="260"/>
      </w:pPr>
      <w:r>
        <w:rPr>
          <w:rFonts w:ascii="Arial" w:cs="Arial" w:eastAsia="Arial" w:hAnsi="Arial"/>
          <w:b/>
          <w:bCs/>
          <w:i w:val="false"/>
          <w:iCs w:val="false"/>
          <w:caps w:val="false"/>
          <w:color w:val="8A4C14"/>
          <w:spacing w:val="14"/>
          <w:sz w:val="16"/>
          <w:szCs w:val="16"/>
        </w:rPr>
        <w:t xml:space="preserve">Quellen</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Wohn- und Nutzflächenberechnungen, Vermessungsbüro André Biedermann, Zwochau, 09.04.2022 und 20.06.2022</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Mieterübersicht Hausverwaltung Wagner, Stand 01/2026</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Liste der Kulturdenkmale in Delitzsch, Wiedergabe der sächsischen Denkmalliste, Stand April 2020</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Bodenrichtwerte: BORIS Sachsen, Landesamt für Geobasisinformation, Stichtag 01.01.2026</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Zensus 2022, Statistisches Landesamt des Freistaates Sachsen — Gebäude und Wohnungen, Gemeinde Delitzsch</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Einwohnerzahl: Statistisches Landesamt Sachsen, Fortschreibung 31.12.2025; Arbeitsmarkt: Bundesagentur für Arbeit, Regionaldirektion Sachsen, 12/2025</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Angebotspreise und Angebotsmieten: immoportal.com (01.08.2026), Engel &amp; Völkers (02.06.2026), homeday, immosuchmaschine.de (07.08.2026)</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Grundstücksmarktbericht Freistaat Sachsen 2025, Oberer Gutachterausschuss</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 7, 7h, 7i, 10f, 11b EStG in der Fassung 2026</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Bescheinigungsrichtlinien zur Anwendung der §§ 7i, 10f und 11b EStG, SMIL vom 17.04.2025, SächsABl. S. 480</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Richtlinie Denkmalförderung Sachsen (RL DFö), gültig ab 31.05.2024; KfW Wohngebäude-Kredit 261, Konditionen ab 21.07.2026</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Sächsische Mietpreisbegrenzungsverordnung, gültig 01.01.2026 bis 30.06.2027</w:t>
      </w:r>
    </w:p>
    <w:p>
      <w:pPr>
        <w:pStyle w:val="ListParagraph"/>
        <w:numPr>
          <w:ilvl w:val="0"/>
          <w:numId w:val="2"/>
        </w:numPr>
        <w:spacing w:after="90" w:before="0" w:line="250"/>
      </w:pPr>
      <w:r>
        <w:rPr>
          <w:rFonts w:ascii="Arial" w:cs="Arial" w:eastAsia="Arial" w:hAnsi="Arial"/>
          <w:b w:val="false"/>
          <w:bCs w:val="false"/>
          <w:i w:val="false"/>
          <w:iCs w:val="false"/>
          <w:caps w:val="false"/>
          <w:color w:val="1A1C1D"/>
          <w:sz w:val="17"/>
          <w:szCs w:val="17"/>
        </w:rPr>
        <w:t xml:space="preserve">Bauzinsen: Interhyp und Dr. Klein, Stand KW 32/2026</w:t>
      </w:r>
    </w:p>
    <w:sectPr>
      <w:headerReference w:type="default" r:id="rId7"/>
      <w:footerReference w:type="default" r:id="rId8"/>
      <w:pgSz w:w="11905" w:h="16837" w:orient="portrait"/>
      <w:pgMar w:top="1247" w:right="1133" w:bottom="1133" w:left="1133" w:header="623" w:footer="623"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7BF" w:sz="4" w:space="4"/>
      </w:pBdr>
      <w:spacing w:before="120"/>
      <w:jc w:val="right"/>
    </w:pPr>
    <w:r>
      <w:rPr>
        <w:rFonts w:ascii="Arial" w:cs="Arial" w:eastAsia="Arial" w:hAnsi="Arial"/>
        <w:b w:val="false"/>
        <w:bCs w:val="false"/>
        <w:i w:val="false"/>
        <w:iCs w:val="false"/>
        <w:caps w:val="false"/>
        <w:color w:val="63676A"/>
        <w:sz w:val="14"/>
        <w:szCs w:val="14"/>
      </w:rPr>
      <w:t xml:space="preserve">Stand 07.08.2026  ·  Seite </w:t>
    </w:r>
    <w:r>
      <w:rPr>
        <w:rFonts w:ascii="Arial" w:cs="Arial" w:eastAsia="Arial" w:hAnsi="Arial"/>
        <w:color w:val="63676A"/>
        <w:sz w:val="14"/>
        <w:szCs w:val="14"/>
      </w:rPr>
      <w:fldChar w:fldCharType="begin"/>
      <w:instrText xml:space="preserve">PAGE</w:instrText>
      <w:fldChar w:fldCharType="separate"/>
      <w:fldChar w:fldCharType="end"/>
    </w:r>
    <w:r>
      <w:rPr>
        <w:rFonts w:ascii="Arial" w:cs="Arial" w:eastAsia="Arial" w:hAnsi="Arial"/>
        <w:b w:val="false"/>
        <w:bCs w:val="false"/>
        <w:i w:val="false"/>
        <w:iCs w:val="false"/>
        <w:caps w:val="false"/>
        <w:color w:val="63676A"/>
        <w:sz w:val="14"/>
        <w:szCs w:val="14"/>
      </w:rPr>
      <w:t xml:space="preserve"> von </w:t>
    </w:r>
    <w:r>
      <w:rPr>
        <w:rFonts w:ascii="Arial" w:cs="Arial" w:eastAsia="Arial" w:hAnsi="Arial"/>
        <w:color w:val="63676A"/>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7BF" w:sz="4" w:space="4"/>
      </w:pBdr>
      <w:spacing w:after="120"/>
      <w:jc w:val="right"/>
    </w:pPr>
    <w:r>
      <w:rPr>
        <w:rFonts w:ascii="Arial" w:cs="Arial" w:eastAsia="Arial" w:hAnsi="Arial"/>
        <w:b w:val="false"/>
        <w:bCs w:val="false"/>
        <w:i w:val="false"/>
        <w:iCs w:val="false"/>
        <w:caps w:val="false"/>
        <w:color w:val="63676A"/>
        <w:spacing w:val="14"/>
        <w:sz w:val="14"/>
        <w:szCs w:val="14"/>
      </w:rPr>
      <w:t xml:space="preserve">Verkaufsexposé Delitzsch · Breite Straße 18/20 · Bismarckstraße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Arial" w:cs="Arial" w:eastAsia="Arial" w:hAnsi="Arial"/>
        <w:b/>
        <w:bCs/>
        <w:color w:val="8A4C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C1D"/>
        <w:sz w:val="18"/>
        <w:szCs w:val="18"/>
      </w:rPr>
    </w:rPrDefault>
    <w:pPrDefault>
      <w:pPr>
        <w:spacing w:line="2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8A4C14"/>
      <w:sz w:val="30"/>
      <w:szCs w:val="30"/>
    </w:rPr>
  </w:style>
  <w:style w:type="paragraph" w:styleId="Heading2">
    <w:name w:val="Heading 2"/>
    <w:basedOn w:val="Normal"/>
    <w:next w:val="Normal"/>
    <w:qFormat/>
    <w:rPr>
      <w:rFonts w:ascii="Arial" w:cs="Arial" w:eastAsia="Arial" w:hAnsi="Arial"/>
      <w:b/>
      <w:bCs/>
      <w:color w:val="1A1C1D"/>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Verkaufsexposé Delitzsch — Breite Straße 18/20 und Bismarckstraße 10</dc:title>
  <dc:creator>Hausverwaltung Wagner</dc:creator>
  <dc:description>Verkaufsexposé mit Mietaufstellung, Flächenabgleich, Preisfindung, Zinsrechnung und Denkmal-AfA, Stand 07.08.2026</dc:description>
  <cp:lastModifiedBy>Un-named</cp:lastModifiedBy>
  <cp:revision>1</cp:revision>
  <dcterms:created xsi:type="dcterms:W3CDTF">2026-08-07T18:00:04.288Z</dcterms:created>
  <dcterms:modified xsi:type="dcterms:W3CDTF">2026-08-07T18:00:04.289Z</dcterms:modified>
</cp:coreProperties>
</file>

<file path=docProps/custom.xml><?xml version="1.0" encoding="utf-8"?>
<Properties xmlns="http://schemas.openxmlformats.org/officeDocument/2006/custom-properties" xmlns:vt="http://schemas.openxmlformats.org/officeDocument/2006/docPropsVTypes"/>
</file>